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6" w:lineRule="atLeast"/>
        <w:jc w:val="center"/>
        <w:rPr>
          <w:rFonts w:ascii="方正小标宋_GBK" w:hAnsi="方正小标宋_GBK"/>
          <w:kern w:val="44"/>
          <w:sz w:val="44"/>
          <w:szCs w:val="44"/>
        </w:rPr>
      </w:pPr>
    </w:p>
    <w:p>
      <w:pPr>
        <w:widowControl/>
        <w:spacing w:line="576" w:lineRule="atLeast"/>
        <w:jc w:val="center"/>
        <w:rPr>
          <w:rFonts w:ascii="方正小标宋_GBK" w:hAnsi="方正小标宋_GBK"/>
          <w:kern w:val="44"/>
          <w:sz w:val="44"/>
          <w:szCs w:val="44"/>
        </w:rPr>
      </w:pPr>
    </w:p>
    <w:p>
      <w:pPr>
        <w:widowControl/>
        <w:spacing w:line="576" w:lineRule="atLeast"/>
        <w:jc w:val="center"/>
        <w:rPr>
          <w:rFonts w:ascii="方正小标宋_GBK" w:hAnsi="方正小标宋_GBK"/>
          <w:kern w:val="44"/>
          <w:sz w:val="44"/>
          <w:szCs w:val="44"/>
        </w:rPr>
      </w:pPr>
    </w:p>
    <w:p>
      <w:pPr>
        <w:widowControl/>
        <w:spacing w:line="576" w:lineRule="atLeast"/>
        <w:jc w:val="center"/>
        <w:rPr>
          <w:rFonts w:ascii="方正小标宋_GBK" w:hAnsi="方正小标宋_GBK"/>
          <w:kern w:val="44"/>
          <w:sz w:val="44"/>
          <w:szCs w:val="44"/>
        </w:rPr>
      </w:pPr>
      <w:bookmarkStart w:id="1" w:name="_GoBack"/>
      <w:bookmarkEnd w:id="1"/>
    </w:p>
    <w:p>
      <w:pPr>
        <w:widowControl/>
        <w:spacing w:line="576" w:lineRule="atLeast"/>
        <w:jc w:val="center"/>
        <w:rPr>
          <w:rFonts w:hint="eastAsia" w:ascii="方正大标宋简体" w:hAnsi="方正大标宋简体"/>
          <w:kern w:val="44"/>
          <w:sz w:val="44"/>
          <w:szCs w:val="44"/>
        </w:rPr>
      </w:pPr>
      <w:r>
        <w:rPr>
          <w:rFonts w:ascii="方正小标宋_GBK" w:hAnsi="方正小标宋_GBK"/>
          <w:kern w:val="44"/>
          <w:sz w:val="44"/>
          <w:szCs w:val="44"/>
        </w:rPr>
        <w:t>舒城县高峰乡人民政府202</w:t>
      </w:r>
      <w:r>
        <w:rPr>
          <w:rFonts w:hint="eastAsia" w:ascii="方正小标宋_GBK" w:hAnsi="方正小标宋_GBK"/>
          <w:kern w:val="44"/>
          <w:sz w:val="44"/>
          <w:szCs w:val="44"/>
        </w:rPr>
        <w:t>4</w:t>
      </w:r>
      <w:r>
        <w:rPr>
          <w:rFonts w:ascii="方正小标宋_GBK" w:hAnsi="方正小标宋_GBK"/>
          <w:kern w:val="44"/>
          <w:sz w:val="44"/>
          <w:szCs w:val="44"/>
        </w:rPr>
        <w:t>年政府信息  公开工作年度报告</w:t>
      </w:r>
    </w:p>
    <w:p>
      <w:pPr>
        <w:widowControl/>
        <w:shd w:val="clear" w:color="auto" w:fill="FFFFFF"/>
        <w:ind w:firstLine="640"/>
        <w:rPr>
          <w:rFonts w:ascii="方正楷体_GBK" w:hAnsi="Calibri" w:eastAsia="方正楷体_GBK" w:cs="宋体"/>
          <w:color w:val="000000"/>
          <w:kern w:val="0"/>
          <w:sz w:val="32"/>
          <w:szCs w:val="32"/>
          <w:shd w:val="clear" w:color="auto" w:fill="FFFFFF"/>
        </w:rPr>
      </w:pPr>
    </w:p>
    <w:p>
      <w:pPr>
        <w:widowControl/>
        <w:shd w:val="clear" w:color="auto" w:fill="FFFFFF"/>
        <w:ind w:firstLine="640"/>
        <w:rPr>
          <w:rFonts w:hint="eastAsia" w:ascii="仿宋_GB2312" w:hAnsi="仿宋_GB2312" w:eastAsia="仿宋_GB2312" w:cs="仿宋_GB2312"/>
          <w:color w:val="000000"/>
          <w:kern w:val="0"/>
          <w:szCs w:val="21"/>
        </w:rPr>
      </w:pPr>
      <w:bookmarkStart w:id="0" w:name="OLE_LINK1"/>
      <w:r>
        <w:rPr>
          <w:rFonts w:hint="eastAsia" w:ascii="仿宋_GB2312" w:hAnsi="仿宋_GB2312" w:eastAsia="仿宋_GB2312" w:cs="仿宋_GB2312"/>
          <w:color w:val="000000"/>
          <w:kern w:val="0"/>
          <w:sz w:val="32"/>
          <w:szCs w:val="32"/>
          <w:shd w:val="clear" w:color="auto" w:fill="FFFFFF"/>
        </w:rPr>
        <w:t>根据新修订《中华人民共和国政府信息公开条例》及上级有关文件精神等要求，结合我乡实际，全面总结了高峰乡在2024年度政务公开工作的实施情况、主要成效、存在问题及改进措施。高峰乡致力于构建阳光政府，通过深化政务公开，增强政府工作透明度，保障人民群众的知情权、参与权、表达权和监督权，促进经济社会和谐发展。需要说明的是，本年度报告中所列数据的统计期限为2024年1月1日至2024年12月31日。如对本报告有任何疑问，请与高峰乡人民政府党政与社会事务办公室联系（地址：舒城县高峰乡五桥街道，电话：0564-8497100，邮编：231354）。</w:t>
      </w:r>
    </w:p>
    <w:p>
      <w:pPr>
        <w:widowControl/>
        <w:shd w:val="clear" w:color="auto" w:fill="FFFFFF"/>
        <w:ind w:firstLine="643"/>
        <w:rPr>
          <w:rFonts w:ascii="Calibri" w:hAnsi="Calibri" w:eastAsia="宋体" w:cs="宋体"/>
          <w:color w:val="000000"/>
          <w:kern w:val="0"/>
          <w:sz w:val="24"/>
          <w:szCs w:val="24"/>
        </w:rPr>
      </w:pPr>
      <w:r>
        <w:rPr>
          <w:rFonts w:hint="eastAsia" w:ascii="黑体" w:hAnsi="黑体" w:eastAsia="黑体" w:cs="宋体"/>
          <w:b/>
          <w:bCs/>
          <w:color w:val="000000"/>
          <w:kern w:val="0"/>
          <w:sz w:val="32"/>
          <w:szCs w:val="32"/>
          <w:shd w:val="clear" w:color="auto" w:fill="FFFFFF"/>
        </w:rPr>
        <w:t>一、总体情况</w:t>
      </w:r>
    </w:p>
    <w:p>
      <w:pPr>
        <w:widowControl/>
        <w:shd w:val="clear" w:color="auto" w:fill="FFFFFF"/>
        <w:ind w:firstLine="640"/>
        <w:rPr>
          <w:rFonts w:ascii="Calibri" w:hAnsi="Calibri" w:eastAsia="宋体" w:cs="宋体"/>
          <w:color w:val="000000"/>
          <w:kern w:val="0"/>
          <w:szCs w:val="21"/>
        </w:rPr>
      </w:pPr>
      <w:r>
        <w:rPr>
          <w:rFonts w:hint="eastAsia" w:ascii="方正楷体_GBK" w:hAnsi="Calibri" w:eastAsia="方正楷体_GBK" w:cs="宋体"/>
          <w:color w:val="000000"/>
          <w:kern w:val="0"/>
          <w:sz w:val="32"/>
          <w:szCs w:val="32"/>
          <w:shd w:val="clear" w:color="auto" w:fill="FFFFFF"/>
        </w:rPr>
        <w:t>（一）主动公开</w:t>
      </w:r>
    </w:p>
    <w:p>
      <w:pPr>
        <w:widowControl/>
        <w:shd w:val="clear" w:color="auto" w:fill="FFFFFF"/>
        <w:ind w:firstLine="640"/>
        <w:rPr>
          <w:rFonts w:ascii="方正楷体_GBK" w:hAnsi="Calibri" w:eastAsia="方正楷体_GBK" w:cs="宋体"/>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一是明确重点，细化政务公开工作要求。推进基础领域静态信息公开、办理指南信息定期更新、机构设置信息根据实际情况常态化更新，以确保机构设置与电话簿信息相对应。2024年度我乡主动公开信息共1096条。财政专项资金等重要动态信息每月由经办人主动与乡财政所、民政办等站所办负责人对接，上传资金分配结果369条，及时发布我乡为企办实事清单。二是着力提升重点领域信息公开质量，围绕2024年度高峰乡重点工作清单。重点做好巩固拓展脱贫攻坚成果同乡村振兴有效衔接工作进程等领域信息公开，及时更新乡村振兴政策，动态公开高峰乡2024年度财政衔接推进乡村振兴补助资金项目计划完成情况。通过全面、准确的信息公开，政府工作的透明度大幅提升，增强了公众对政府的信任感。</w:t>
      </w:r>
    </w:p>
    <w:p>
      <w:pPr>
        <w:widowControl/>
        <w:shd w:val="clear" w:color="auto" w:fill="FFFFFF"/>
        <w:ind w:firstLine="640"/>
        <w:rPr>
          <w:rFonts w:ascii="Calibri" w:hAnsi="Calibri" w:eastAsia="宋体" w:cs="宋体"/>
          <w:color w:val="000000"/>
          <w:kern w:val="0"/>
          <w:szCs w:val="21"/>
        </w:rPr>
      </w:pPr>
      <w:r>
        <w:rPr>
          <w:rFonts w:hint="eastAsia" w:ascii="方正楷体_GBK" w:hAnsi="Calibri" w:eastAsia="方正楷体_GBK" w:cs="宋体"/>
          <w:color w:val="000000"/>
          <w:kern w:val="0"/>
          <w:sz w:val="32"/>
          <w:szCs w:val="32"/>
          <w:shd w:val="clear" w:color="auto" w:fill="FFFFFF"/>
        </w:rPr>
        <w:t>（二）依申请公开</w:t>
      </w:r>
    </w:p>
    <w:p>
      <w:pPr>
        <w:widowControl/>
        <w:shd w:val="clear" w:color="auto" w:fill="FFFFFF"/>
        <w:ind w:firstLine="64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本年度我乡收到政府信息公开申请数量为1件。我乡收到政府信息公开申请后，立即转交经办人员办理，由经办人根据安徽省政务公开办公室关于印发《安徽省政府信息公开申请办理答复规范》的文件要求草拟答复书，经乡主要负责人审核后依规回复。</w:t>
      </w:r>
    </w:p>
    <w:p>
      <w:pPr>
        <w:widowControl/>
        <w:shd w:val="clear" w:color="auto" w:fill="FFFFFF"/>
        <w:ind w:firstLine="640"/>
        <w:rPr>
          <w:rFonts w:ascii="Calibri" w:hAnsi="Calibri" w:eastAsia="宋体" w:cs="宋体"/>
          <w:color w:val="000000"/>
          <w:kern w:val="0"/>
          <w:szCs w:val="21"/>
        </w:rPr>
      </w:pPr>
      <w:r>
        <w:rPr>
          <w:rFonts w:hint="eastAsia" w:ascii="方正楷体_GBK" w:hAnsi="Calibri" w:eastAsia="方正楷体_GBK" w:cs="宋体"/>
          <w:color w:val="000000"/>
          <w:kern w:val="0"/>
          <w:sz w:val="32"/>
          <w:szCs w:val="32"/>
          <w:shd w:val="clear" w:color="auto" w:fill="FFFFFF"/>
        </w:rPr>
        <w:t>（三）政府信息管理</w:t>
      </w:r>
    </w:p>
    <w:p>
      <w:pPr>
        <w:widowControl/>
        <w:shd w:val="clear" w:color="auto" w:fill="FFFFFF"/>
        <w:ind w:firstLine="64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我乡对政府信息公开的范围、政府信息公开的内容、政府信息公开的形式、政府信息公开的制度等作了进一步的明确。按照组织健全、制度严密、标准统一、运作规范的要求,做好政府信息公开内容的补充以及已公开内容的删补。二是公开的时间更加及时。针对公开项目的不同情况，确定公开时间，做到常规性工作定期公开，临时性工作随时公开，固定性工作长期公开。</w:t>
      </w:r>
    </w:p>
    <w:p>
      <w:pPr>
        <w:widowControl/>
        <w:shd w:val="clear" w:color="auto" w:fill="FFFFFF"/>
        <w:ind w:firstLine="640"/>
        <w:rPr>
          <w:rFonts w:ascii="Calibri" w:hAnsi="Calibri" w:eastAsia="宋体" w:cs="宋体"/>
          <w:color w:val="000000"/>
          <w:kern w:val="0"/>
          <w:szCs w:val="21"/>
        </w:rPr>
      </w:pPr>
      <w:r>
        <w:rPr>
          <w:rFonts w:hint="eastAsia" w:ascii="方正楷体_GBK" w:hAnsi="Calibri" w:eastAsia="方正楷体_GBK" w:cs="宋体"/>
          <w:color w:val="000000"/>
          <w:kern w:val="0"/>
          <w:sz w:val="32"/>
          <w:szCs w:val="32"/>
          <w:shd w:val="clear" w:color="auto" w:fill="FFFFFF"/>
        </w:rPr>
        <w:t>（四）政府信息公开平台建设</w:t>
      </w:r>
    </w:p>
    <w:p>
      <w:pPr>
        <w:widowControl/>
        <w:shd w:val="clear" w:color="auto" w:fill="FFFFFF"/>
        <w:ind w:firstLine="64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我乡不断完善公开信息平台建设，提升高峰乡政务公开标准化、规范化水平，我乡依托政务公开专区，开设“政策咨询综合服务窗口”，日常解答群众政策咨询和开展政策宣讲。五月开展</w:t>
      </w:r>
      <w:r>
        <w:rPr>
          <w:rFonts w:hint="eastAsia" w:ascii="仿宋_GB2312" w:hAnsi="仿宋_GB2312" w:eastAsia="仿宋_GB2312" w:cs="仿宋_GB2312"/>
          <w:color w:val="000000"/>
          <w:kern w:val="0"/>
          <w:sz w:val="32"/>
          <w:szCs w:val="32"/>
          <w:shd w:val="clear" w:color="auto" w:fill="FFFFFF"/>
        </w:rPr>
        <w:fldChar w:fldCharType="begin"/>
      </w:r>
      <w:r>
        <w:rPr>
          <w:rFonts w:hint="eastAsia" w:ascii="仿宋_GB2312" w:hAnsi="仿宋_GB2312" w:eastAsia="仿宋_GB2312" w:cs="仿宋_GB2312"/>
          <w:color w:val="000000"/>
          <w:kern w:val="0"/>
          <w:sz w:val="32"/>
          <w:szCs w:val="32"/>
          <w:shd w:val="clear" w:color="auto" w:fill="FFFFFF"/>
        </w:rPr>
        <w:instrText xml:space="preserve"> HYPERLINK "https://www.shucheng.gov.cn/public/content/37380461" \t "_blank" </w:instrText>
      </w:r>
      <w:r>
        <w:rPr>
          <w:rFonts w:hint="eastAsia" w:ascii="仿宋_GB2312" w:hAnsi="仿宋_GB2312" w:eastAsia="仿宋_GB2312" w:cs="仿宋_GB2312"/>
          <w:color w:val="000000"/>
          <w:kern w:val="0"/>
          <w:sz w:val="32"/>
          <w:szCs w:val="32"/>
          <w:shd w:val="clear" w:color="auto" w:fill="FFFFFF"/>
        </w:rPr>
        <w:fldChar w:fldCharType="separate"/>
      </w:r>
      <w:r>
        <w:rPr>
          <w:rFonts w:hint="eastAsia" w:ascii="仿宋_GB2312" w:hAnsi="仿宋_GB2312" w:eastAsia="仿宋_GB2312" w:cs="仿宋_GB2312"/>
          <w:color w:val="000000"/>
          <w:kern w:val="0"/>
          <w:sz w:val="32"/>
          <w:szCs w:val="32"/>
          <w:shd w:val="clear" w:color="auto" w:fill="FFFFFF"/>
        </w:rPr>
        <w:t>“5·12”全国防灾减灾日宣传周活动</w:t>
      </w:r>
      <w:r>
        <w:rPr>
          <w:rFonts w:hint="eastAsia" w:ascii="仿宋_GB2312" w:hAnsi="仿宋_GB2312" w:eastAsia="仿宋_GB2312" w:cs="仿宋_GB2312"/>
          <w:color w:val="000000"/>
          <w:kern w:val="0"/>
          <w:sz w:val="32"/>
          <w:szCs w:val="32"/>
          <w:shd w:val="clear" w:color="auto" w:fill="FFFFFF"/>
        </w:rPr>
        <w:fldChar w:fldCharType="end"/>
      </w:r>
      <w:r>
        <w:rPr>
          <w:rFonts w:hint="eastAsia" w:ascii="仿宋_GB2312" w:hAnsi="仿宋_GB2312" w:eastAsia="仿宋_GB2312" w:cs="仿宋_GB2312"/>
          <w:color w:val="000000"/>
          <w:kern w:val="0"/>
          <w:sz w:val="32"/>
          <w:szCs w:val="32"/>
          <w:shd w:val="clear" w:color="auto" w:fill="FFFFFF"/>
        </w:rPr>
        <w:t>、六月开展“6.16安全宣传咨询日”活动等，而且要求各村（社区）每月在村务公开栏公开各村党风廉政建设、财务收支、惠民补贴、乡村振兴、项目建设等工作内容，并要求各村做好隐私保密、纸质资料和工作照片存档。</w:t>
      </w:r>
    </w:p>
    <w:p>
      <w:pPr>
        <w:widowControl/>
        <w:shd w:val="clear" w:color="auto" w:fill="FFFFFF"/>
        <w:ind w:firstLine="640"/>
        <w:rPr>
          <w:rFonts w:ascii="方正楷体_GBK" w:hAnsi="Calibri" w:eastAsia="方正楷体_GBK" w:cs="宋体"/>
          <w:color w:val="000000"/>
          <w:kern w:val="0"/>
          <w:sz w:val="32"/>
          <w:szCs w:val="32"/>
          <w:shd w:val="clear" w:color="auto" w:fill="FFFFFF"/>
        </w:rPr>
      </w:pPr>
      <w:r>
        <w:rPr>
          <w:rFonts w:hint="eastAsia" w:ascii="方正楷体_GBK" w:hAnsi="Calibri" w:eastAsia="方正楷体_GBK" w:cs="宋体"/>
          <w:color w:val="000000"/>
          <w:kern w:val="0"/>
          <w:sz w:val="32"/>
          <w:szCs w:val="32"/>
          <w:shd w:val="clear" w:color="auto" w:fill="FFFFFF"/>
        </w:rPr>
        <w:t>（五）监督保障</w:t>
      </w:r>
    </w:p>
    <w:p>
      <w:pPr>
        <w:widowControl/>
        <w:shd w:val="clear" w:color="auto" w:fill="FFFFFF"/>
        <w:ind w:firstLine="64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将政务公开工作纳入各村年度考核内容，对考核优秀的村居给予通报表彰,对不合格的村居责令限期整改，责令其在接到考核结果15天内完成整改，整改结果报乡政府办公室；未按期完成整改的，由乡党政办公室提请乡政府给予通报批评；定期开展政府信息公开的监督检查，及时排查处理个人隐私信息，防止泄漏国家秘密和敏感信息，确保网站信息发布工作规范化。2024年度，未开展社会评议，无政务公开工作方面责任追究情况。</w:t>
      </w:r>
    </w:p>
    <w:p>
      <w:pPr>
        <w:widowControl/>
        <w:shd w:val="clear" w:color="auto" w:fill="FFFFFF"/>
        <w:ind w:firstLine="643"/>
        <w:rPr>
          <w:rFonts w:ascii="Calibri" w:hAnsi="Calibri" w:eastAsia="宋体" w:cs="宋体"/>
          <w:color w:val="000000"/>
          <w:kern w:val="0"/>
          <w:sz w:val="24"/>
          <w:szCs w:val="24"/>
        </w:rPr>
      </w:pPr>
      <w:r>
        <w:rPr>
          <w:rFonts w:hint="eastAsia" w:ascii="黑体" w:hAnsi="黑体" w:eastAsia="黑体" w:cs="宋体"/>
          <w:b/>
          <w:bCs/>
          <w:color w:val="000000"/>
          <w:kern w:val="0"/>
          <w:sz w:val="32"/>
          <w:szCs w:val="32"/>
          <w:shd w:val="clear" w:color="auto" w:fill="FFFFFF"/>
        </w:rPr>
        <w:t>二、主动公开政府信息情况</w:t>
      </w:r>
    </w:p>
    <w:tbl>
      <w:tblPr>
        <w:tblStyle w:val="3"/>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253" w:hRule="atLeast"/>
          <w:jc w:val="center"/>
        </w:trPr>
        <w:tc>
          <w:tcPr>
            <w:tcW w:w="9740" w:type="dxa"/>
            <w:gridSpan w:val="4"/>
            <w:tcBorders>
              <w:top w:val="single" w:color="auto" w:sz="4" w:space="0"/>
              <w:left w:val="single" w:color="auto" w:sz="4" w:space="0"/>
              <w:bottom w:val="single" w:color="auto" w:sz="4" w:space="0"/>
              <w:right w:val="single" w:color="auto" w:sz="4" w:space="0"/>
            </w:tcBorders>
            <w:shd w:val="clear" w:color="auto" w:fill="C6D9F1"/>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第二十条第（一）项</w:t>
            </w:r>
          </w:p>
        </w:tc>
      </w:tr>
      <w:tr>
        <w:tblPrEx>
          <w:tblLayout w:type="fixed"/>
          <w:tblCellMar>
            <w:top w:w="0" w:type="dxa"/>
            <w:left w:w="0" w:type="dxa"/>
            <w:bottom w:w="0" w:type="dxa"/>
            <w:right w:w="0" w:type="dxa"/>
          </w:tblCellMar>
        </w:tblPrEx>
        <w:trPr>
          <w:trHeight w:val="253" w:hRule="atLeast"/>
          <w:jc w:val="center"/>
        </w:trPr>
        <w:tc>
          <w:tcPr>
            <w:tcW w:w="2435" w:type="dxa"/>
            <w:tcBorders>
              <w:top w:val="nil"/>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信息内容</w:t>
            </w:r>
          </w:p>
        </w:tc>
        <w:tc>
          <w:tcPr>
            <w:tcW w:w="2435"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本年制发件数</w:t>
            </w:r>
          </w:p>
        </w:tc>
        <w:tc>
          <w:tcPr>
            <w:tcW w:w="2435"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本年废止件数</w:t>
            </w:r>
          </w:p>
        </w:tc>
        <w:tc>
          <w:tcPr>
            <w:tcW w:w="2435"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现行有效件数</w:t>
            </w:r>
          </w:p>
        </w:tc>
      </w:tr>
      <w:tr>
        <w:tblPrEx>
          <w:tblLayout w:type="fixed"/>
          <w:tblCellMar>
            <w:top w:w="0" w:type="dxa"/>
            <w:left w:w="0" w:type="dxa"/>
            <w:bottom w:w="0" w:type="dxa"/>
            <w:right w:w="0" w:type="dxa"/>
          </w:tblCellMar>
        </w:tblPrEx>
        <w:trPr>
          <w:trHeight w:val="253" w:hRule="atLeast"/>
          <w:jc w:val="center"/>
        </w:trPr>
        <w:tc>
          <w:tcPr>
            <w:tcW w:w="2435" w:type="dxa"/>
            <w:tcBorders>
              <w:top w:val="nil"/>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jc w:val="left"/>
              <w:rPr>
                <w:rFonts w:ascii="Calibri" w:hAnsi="Calibri" w:eastAsia="宋体" w:cs="Times New Roman"/>
                <w:kern w:val="0"/>
                <w:szCs w:val="21"/>
              </w:rPr>
            </w:pPr>
            <w:r>
              <w:rPr>
                <w:rFonts w:hint="eastAsia" w:ascii="宋体" w:hAnsi="宋体" w:eastAsia="宋体" w:cs="Times New Roman"/>
                <w:color w:val="000000"/>
                <w:kern w:val="0"/>
                <w:sz w:val="20"/>
                <w:szCs w:val="20"/>
              </w:rPr>
              <w:t>规章</w:t>
            </w:r>
          </w:p>
        </w:tc>
        <w:tc>
          <w:tcPr>
            <w:tcW w:w="2435"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0　</w:t>
            </w:r>
          </w:p>
        </w:tc>
        <w:tc>
          <w:tcPr>
            <w:tcW w:w="2435"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0　</w:t>
            </w:r>
          </w:p>
        </w:tc>
        <w:tc>
          <w:tcPr>
            <w:tcW w:w="2435"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宋体" w:cs="Times New Roman"/>
                <w:kern w:val="0"/>
                <w:szCs w:val="21"/>
              </w:rPr>
              <w:t>0</w:t>
            </w:r>
          </w:p>
        </w:tc>
      </w:tr>
      <w:tr>
        <w:tblPrEx>
          <w:tblLayout w:type="fixed"/>
          <w:tblCellMar>
            <w:top w:w="0" w:type="dxa"/>
            <w:left w:w="0" w:type="dxa"/>
            <w:bottom w:w="0" w:type="dxa"/>
            <w:right w:w="0" w:type="dxa"/>
          </w:tblCellMar>
        </w:tblPrEx>
        <w:trPr>
          <w:trHeight w:val="253" w:hRule="atLeast"/>
          <w:jc w:val="center"/>
        </w:trPr>
        <w:tc>
          <w:tcPr>
            <w:tcW w:w="2435" w:type="dxa"/>
            <w:tcBorders>
              <w:top w:val="nil"/>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jc w:val="left"/>
              <w:rPr>
                <w:rFonts w:ascii="Calibri" w:hAnsi="Calibri" w:eastAsia="宋体" w:cs="Times New Roman"/>
                <w:kern w:val="0"/>
                <w:szCs w:val="21"/>
              </w:rPr>
            </w:pPr>
            <w:r>
              <w:rPr>
                <w:rFonts w:hint="eastAsia" w:ascii="宋体" w:hAnsi="宋体" w:eastAsia="宋体" w:cs="Times New Roman"/>
                <w:color w:val="000000"/>
                <w:kern w:val="0"/>
                <w:sz w:val="20"/>
                <w:szCs w:val="20"/>
              </w:rPr>
              <w:t>行政规范性文件</w:t>
            </w:r>
          </w:p>
        </w:tc>
        <w:tc>
          <w:tcPr>
            <w:tcW w:w="2435"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宋体" w:cs="Times New Roman"/>
                <w:kern w:val="0"/>
                <w:szCs w:val="21"/>
              </w:rPr>
              <w:t>0</w:t>
            </w:r>
          </w:p>
        </w:tc>
        <w:tc>
          <w:tcPr>
            <w:tcW w:w="2435"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0　</w:t>
            </w:r>
          </w:p>
        </w:tc>
        <w:tc>
          <w:tcPr>
            <w:tcW w:w="2435"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宋体" w:cs="Times New Roman"/>
                <w:kern w:val="0"/>
                <w:szCs w:val="21"/>
              </w:rPr>
              <w:t>0</w:t>
            </w:r>
          </w:p>
        </w:tc>
      </w:tr>
      <w:tr>
        <w:tblPrEx>
          <w:tblLayout w:type="fixed"/>
          <w:tblCellMar>
            <w:top w:w="0" w:type="dxa"/>
            <w:left w:w="0" w:type="dxa"/>
            <w:bottom w:w="0" w:type="dxa"/>
            <w:right w:w="0" w:type="dxa"/>
          </w:tblCellMar>
        </w:tblPrEx>
        <w:trPr>
          <w:trHeight w:val="253" w:hRule="atLeast"/>
          <w:jc w:val="center"/>
        </w:trPr>
        <w:tc>
          <w:tcPr>
            <w:tcW w:w="9740" w:type="dxa"/>
            <w:gridSpan w:val="4"/>
            <w:tcBorders>
              <w:top w:val="nil"/>
              <w:left w:val="single" w:color="auto" w:sz="4" w:space="0"/>
              <w:bottom w:val="single" w:color="auto" w:sz="4" w:space="0"/>
              <w:right w:val="single" w:color="auto" w:sz="4" w:space="0"/>
            </w:tcBorders>
            <w:shd w:val="clear" w:color="auto" w:fill="C6D9F1"/>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第二十条第（五）</w:t>
            </w:r>
          </w:p>
        </w:tc>
      </w:tr>
      <w:tr>
        <w:tblPrEx>
          <w:tblLayout w:type="fixed"/>
          <w:tblCellMar>
            <w:top w:w="0" w:type="dxa"/>
            <w:left w:w="0" w:type="dxa"/>
            <w:bottom w:w="0" w:type="dxa"/>
            <w:right w:w="0" w:type="dxa"/>
          </w:tblCellMar>
        </w:tblPrEx>
        <w:trPr>
          <w:trHeight w:val="253" w:hRule="atLeast"/>
          <w:jc w:val="center"/>
        </w:trPr>
        <w:tc>
          <w:tcPr>
            <w:tcW w:w="2435" w:type="dxa"/>
            <w:tcBorders>
              <w:top w:val="nil"/>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信息内容</w:t>
            </w:r>
          </w:p>
        </w:tc>
        <w:tc>
          <w:tcPr>
            <w:tcW w:w="7305" w:type="dxa"/>
            <w:gridSpan w:val="3"/>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本年处理决定数量</w:t>
            </w:r>
          </w:p>
        </w:tc>
      </w:tr>
      <w:tr>
        <w:tblPrEx>
          <w:tblLayout w:type="fixed"/>
          <w:tblCellMar>
            <w:top w:w="0" w:type="dxa"/>
            <w:left w:w="0" w:type="dxa"/>
            <w:bottom w:w="0" w:type="dxa"/>
            <w:right w:w="0" w:type="dxa"/>
          </w:tblCellMar>
        </w:tblPrEx>
        <w:trPr>
          <w:trHeight w:val="253" w:hRule="atLeast"/>
          <w:jc w:val="center"/>
        </w:trPr>
        <w:tc>
          <w:tcPr>
            <w:tcW w:w="2435" w:type="dxa"/>
            <w:tcBorders>
              <w:top w:val="nil"/>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jc w:val="left"/>
              <w:rPr>
                <w:rFonts w:ascii="Calibri" w:hAnsi="Calibri" w:eastAsia="宋体" w:cs="Times New Roman"/>
                <w:kern w:val="0"/>
                <w:szCs w:val="21"/>
              </w:rPr>
            </w:pPr>
            <w:r>
              <w:rPr>
                <w:rFonts w:hint="eastAsia" w:ascii="宋体" w:hAnsi="宋体" w:eastAsia="宋体" w:cs="Times New Roman"/>
                <w:color w:val="000000"/>
                <w:kern w:val="0"/>
                <w:sz w:val="20"/>
                <w:szCs w:val="20"/>
              </w:rPr>
              <w:t>行政许可</w:t>
            </w:r>
          </w:p>
        </w:tc>
        <w:tc>
          <w:tcPr>
            <w:tcW w:w="7305" w:type="dxa"/>
            <w:gridSpan w:val="3"/>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Cs w:val="21"/>
              </w:rPr>
              <w:t>95</w:t>
            </w:r>
          </w:p>
        </w:tc>
      </w:tr>
      <w:tr>
        <w:tblPrEx>
          <w:tblLayout w:type="fixed"/>
          <w:tblCellMar>
            <w:top w:w="0" w:type="dxa"/>
            <w:left w:w="0" w:type="dxa"/>
            <w:bottom w:w="0" w:type="dxa"/>
            <w:right w:w="0" w:type="dxa"/>
          </w:tblCellMar>
        </w:tblPrEx>
        <w:trPr>
          <w:trHeight w:val="253" w:hRule="atLeast"/>
          <w:jc w:val="center"/>
        </w:trPr>
        <w:tc>
          <w:tcPr>
            <w:tcW w:w="9740" w:type="dxa"/>
            <w:gridSpan w:val="4"/>
            <w:tcBorders>
              <w:top w:val="nil"/>
              <w:left w:val="single" w:color="auto" w:sz="4" w:space="0"/>
              <w:bottom w:val="single" w:color="auto" w:sz="4" w:space="0"/>
              <w:right w:val="single" w:color="auto" w:sz="4" w:space="0"/>
            </w:tcBorders>
            <w:shd w:val="clear" w:color="auto" w:fill="C6D9F1"/>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第二十条第（六）项</w:t>
            </w:r>
          </w:p>
        </w:tc>
      </w:tr>
      <w:tr>
        <w:tblPrEx>
          <w:tblLayout w:type="fixed"/>
          <w:tblCellMar>
            <w:top w:w="0" w:type="dxa"/>
            <w:left w:w="0" w:type="dxa"/>
            <w:bottom w:w="0" w:type="dxa"/>
            <w:right w:w="0" w:type="dxa"/>
          </w:tblCellMar>
        </w:tblPrEx>
        <w:trPr>
          <w:trHeight w:val="253" w:hRule="atLeast"/>
          <w:jc w:val="center"/>
        </w:trPr>
        <w:tc>
          <w:tcPr>
            <w:tcW w:w="2435" w:type="dxa"/>
            <w:tcBorders>
              <w:top w:val="nil"/>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信息内容</w:t>
            </w:r>
          </w:p>
        </w:tc>
        <w:tc>
          <w:tcPr>
            <w:tcW w:w="7305" w:type="dxa"/>
            <w:gridSpan w:val="3"/>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本年处理决定数量</w:t>
            </w:r>
          </w:p>
        </w:tc>
      </w:tr>
      <w:tr>
        <w:tblPrEx>
          <w:tblLayout w:type="fixed"/>
          <w:tblCellMar>
            <w:top w:w="0" w:type="dxa"/>
            <w:left w:w="0" w:type="dxa"/>
            <w:bottom w:w="0" w:type="dxa"/>
            <w:right w:w="0" w:type="dxa"/>
          </w:tblCellMar>
        </w:tblPrEx>
        <w:trPr>
          <w:trHeight w:val="253" w:hRule="atLeast"/>
          <w:jc w:val="center"/>
        </w:trPr>
        <w:tc>
          <w:tcPr>
            <w:tcW w:w="2435" w:type="dxa"/>
            <w:tcBorders>
              <w:top w:val="nil"/>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jc w:val="left"/>
              <w:rPr>
                <w:rFonts w:ascii="Calibri" w:hAnsi="Calibri" w:eastAsia="宋体" w:cs="Times New Roman"/>
                <w:kern w:val="0"/>
                <w:szCs w:val="21"/>
              </w:rPr>
            </w:pPr>
            <w:r>
              <w:rPr>
                <w:rFonts w:hint="eastAsia" w:ascii="宋体" w:hAnsi="宋体" w:eastAsia="宋体" w:cs="Times New Roman"/>
                <w:color w:val="000000"/>
                <w:kern w:val="0"/>
                <w:sz w:val="20"/>
                <w:szCs w:val="20"/>
              </w:rPr>
              <w:t>行政处罚</w:t>
            </w:r>
          </w:p>
        </w:tc>
        <w:tc>
          <w:tcPr>
            <w:tcW w:w="7305" w:type="dxa"/>
            <w:gridSpan w:val="3"/>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0　</w:t>
            </w:r>
          </w:p>
        </w:tc>
      </w:tr>
      <w:tr>
        <w:tblPrEx>
          <w:tblLayout w:type="fixed"/>
          <w:tblCellMar>
            <w:top w:w="0" w:type="dxa"/>
            <w:left w:w="0" w:type="dxa"/>
            <w:bottom w:w="0" w:type="dxa"/>
            <w:right w:w="0" w:type="dxa"/>
          </w:tblCellMar>
        </w:tblPrEx>
        <w:trPr>
          <w:trHeight w:val="253" w:hRule="atLeast"/>
          <w:jc w:val="center"/>
        </w:trPr>
        <w:tc>
          <w:tcPr>
            <w:tcW w:w="2435" w:type="dxa"/>
            <w:tcBorders>
              <w:top w:val="nil"/>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jc w:val="left"/>
              <w:rPr>
                <w:rFonts w:ascii="Calibri" w:hAnsi="Calibri" w:eastAsia="宋体" w:cs="Times New Roman"/>
                <w:kern w:val="0"/>
                <w:szCs w:val="21"/>
              </w:rPr>
            </w:pPr>
            <w:r>
              <w:rPr>
                <w:rFonts w:hint="eastAsia" w:ascii="宋体" w:hAnsi="宋体" w:eastAsia="宋体" w:cs="Times New Roman"/>
                <w:color w:val="000000"/>
                <w:kern w:val="0"/>
                <w:sz w:val="20"/>
                <w:szCs w:val="20"/>
              </w:rPr>
              <w:t>行政强制</w:t>
            </w:r>
          </w:p>
        </w:tc>
        <w:tc>
          <w:tcPr>
            <w:tcW w:w="7305" w:type="dxa"/>
            <w:gridSpan w:val="3"/>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0　</w:t>
            </w:r>
          </w:p>
        </w:tc>
      </w:tr>
      <w:tr>
        <w:tblPrEx>
          <w:tblLayout w:type="fixed"/>
          <w:tblCellMar>
            <w:top w:w="0" w:type="dxa"/>
            <w:left w:w="0" w:type="dxa"/>
            <w:bottom w:w="0" w:type="dxa"/>
            <w:right w:w="0" w:type="dxa"/>
          </w:tblCellMar>
        </w:tblPrEx>
        <w:trPr>
          <w:trHeight w:val="253" w:hRule="atLeast"/>
          <w:jc w:val="center"/>
        </w:trPr>
        <w:tc>
          <w:tcPr>
            <w:tcW w:w="9740" w:type="dxa"/>
            <w:gridSpan w:val="4"/>
            <w:tcBorders>
              <w:top w:val="nil"/>
              <w:left w:val="single" w:color="auto" w:sz="4" w:space="0"/>
              <w:bottom w:val="single" w:color="auto" w:sz="4" w:space="0"/>
              <w:right w:val="single" w:color="auto" w:sz="4" w:space="0"/>
            </w:tcBorders>
            <w:shd w:val="clear" w:color="auto" w:fill="C6D9F1"/>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第二十条第（八）项</w:t>
            </w:r>
          </w:p>
        </w:tc>
      </w:tr>
      <w:tr>
        <w:tblPrEx>
          <w:tblLayout w:type="fixed"/>
          <w:tblCellMar>
            <w:top w:w="0" w:type="dxa"/>
            <w:left w:w="0" w:type="dxa"/>
            <w:bottom w:w="0" w:type="dxa"/>
            <w:right w:w="0" w:type="dxa"/>
          </w:tblCellMar>
        </w:tblPrEx>
        <w:trPr>
          <w:trHeight w:val="253" w:hRule="atLeast"/>
          <w:jc w:val="center"/>
        </w:trPr>
        <w:tc>
          <w:tcPr>
            <w:tcW w:w="2435" w:type="dxa"/>
            <w:tcBorders>
              <w:top w:val="nil"/>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信息内容</w:t>
            </w:r>
          </w:p>
        </w:tc>
        <w:tc>
          <w:tcPr>
            <w:tcW w:w="7305" w:type="dxa"/>
            <w:gridSpan w:val="3"/>
            <w:tcBorders>
              <w:top w:val="nil"/>
              <w:left w:val="nil"/>
              <w:bottom w:val="single" w:color="auto" w:sz="4" w:space="0"/>
              <w:right w:val="single" w:color="000000"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本年收费金额（单位：万元）</w:t>
            </w:r>
          </w:p>
        </w:tc>
      </w:tr>
      <w:tr>
        <w:tblPrEx>
          <w:tblLayout w:type="fixed"/>
          <w:tblCellMar>
            <w:top w:w="0" w:type="dxa"/>
            <w:left w:w="0" w:type="dxa"/>
            <w:bottom w:w="0" w:type="dxa"/>
            <w:right w:w="0" w:type="dxa"/>
          </w:tblCellMar>
        </w:tblPrEx>
        <w:trPr>
          <w:trHeight w:val="253" w:hRule="atLeast"/>
          <w:jc w:val="center"/>
        </w:trPr>
        <w:tc>
          <w:tcPr>
            <w:tcW w:w="2435" w:type="dxa"/>
            <w:tcBorders>
              <w:top w:val="nil"/>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jc w:val="left"/>
              <w:rPr>
                <w:rFonts w:ascii="Calibri" w:hAnsi="Calibri" w:eastAsia="宋体" w:cs="Times New Roman"/>
                <w:kern w:val="0"/>
                <w:szCs w:val="21"/>
              </w:rPr>
            </w:pPr>
            <w:r>
              <w:rPr>
                <w:rFonts w:hint="eastAsia" w:ascii="宋体" w:hAnsi="宋体" w:eastAsia="宋体" w:cs="Times New Roman"/>
                <w:color w:val="000000"/>
                <w:kern w:val="0"/>
                <w:sz w:val="20"/>
                <w:szCs w:val="20"/>
              </w:rPr>
              <w:t>行政事业性收费</w:t>
            </w:r>
          </w:p>
        </w:tc>
        <w:tc>
          <w:tcPr>
            <w:tcW w:w="7305" w:type="dxa"/>
            <w:gridSpan w:val="3"/>
            <w:tcBorders>
              <w:top w:val="nil"/>
              <w:left w:val="nil"/>
              <w:bottom w:val="single" w:color="auto" w:sz="4" w:space="0"/>
              <w:right w:val="single" w:color="000000"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4"/>
                <w:szCs w:val="24"/>
              </w:rPr>
              <w:t>0</w:t>
            </w:r>
          </w:p>
        </w:tc>
      </w:tr>
    </w:tbl>
    <w:p>
      <w:pPr>
        <w:widowControl/>
        <w:shd w:val="clear" w:color="auto" w:fill="FFFFFF"/>
        <w:ind w:firstLine="643"/>
        <w:rPr>
          <w:rFonts w:ascii="Calibri" w:hAnsi="Calibri" w:eastAsia="宋体" w:cs="宋体"/>
          <w:color w:val="000000"/>
          <w:kern w:val="0"/>
          <w:sz w:val="24"/>
          <w:szCs w:val="24"/>
        </w:rPr>
      </w:pPr>
    </w:p>
    <w:p>
      <w:pPr>
        <w:widowControl/>
        <w:shd w:val="clear" w:color="auto" w:fill="FFFFFF"/>
        <w:ind w:firstLine="643"/>
        <w:rPr>
          <w:rFonts w:ascii="Calibri" w:hAnsi="Calibri" w:eastAsia="宋体" w:cs="宋体"/>
          <w:color w:val="000000"/>
          <w:kern w:val="0"/>
          <w:sz w:val="24"/>
          <w:szCs w:val="24"/>
        </w:rPr>
      </w:pPr>
      <w:r>
        <w:rPr>
          <w:rFonts w:hint="eastAsia" w:ascii="黑体" w:hAnsi="黑体" w:eastAsia="黑体" w:cs="宋体"/>
          <w:b/>
          <w:bCs/>
          <w:color w:val="000000"/>
          <w:kern w:val="0"/>
          <w:sz w:val="32"/>
          <w:szCs w:val="32"/>
          <w:shd w:val="clear" w:color="auto" w:fill="FFFFFF"/>
        </w:rPr>
        <w:t>三、收到和处理政府信息公开申请情况</w:t>
      </w:r>
    </w:p>
    <w:p>
      <w:pPr>
        <w:widowControl/>
        <w:shd w:val="clear" w:color="auto" w:fill="FFFFFF"/>
        <w:ind w:firstLine="643"/>
        <w:rPr>
          <w:rFonts w:ascii="Calibri" w:hAnsi="Calibri" w:eastAsia="宋体" w:cs="宋体"/>
          <w:color w:val="000000"/>
          <w:kern w:val="0"/>
          <w:sz w:val="24"/>
          <w:szCs w:val="24"/>
        </w:rPr>
      </w:pPr>
    </w:p>
    <w:tbl>
      <w:tblPr>
        <w:tblStyle w:val="3"/>
        <w:tblW w:w="9745" w:type="dxa"/>
        <w:jc w:val="center"/>
        <w:tblInd w:w="0" w:type="dxa"/>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tblPrEx>
          <w:tblLayout w:type="fixed"/>
          <w:tblCellMar>
            <w:top w:w="0" w:type="dxa"/>
            <w:left w:w="0" w:type="dxa"/>
            <w:bottom w:w="0" w:type="dxa"/>
            <w:right w:w="0" w:type="dxa"/>
          </w:tblCellMar>
        </w:tblPrEx>
        <w:trPr>
          <w:trHeight w:val="253" w:hRule="atLeast"/>
          <w:jc w:val="center"/>
        </w:trPr>
        <w:tc>
          <w:tcPr>
            <w:tcW w:w="4929" w:type="dxa"/>
            <w:gridSpan w:val="3"/>
            <w:vMerge w:val="restart"/>
            <w:tcBorders>
              <w:top w:val="single" w:color="auto" w:sz="4" w:space="0"/>
              <w:left w:val="single" w:color="auto" w:sz="4" w:space="0"/>
              <w:bottom w:val="inset" w:color="auto" w:sz="4" w:space="0"/>
              <w:right w:val="single" w:color="auto" w:sz="4" w:space="0"/>
            </w:tcBorders>
            <w:tcMar>
              <w:top w:w="0" w:type="dxa"/>
              <w:left w:w="108" w:type="dxa"/>
              <w:bottom w:w="0" w:type="dxa"/>
              <w:right w:w="108" w:type="dxa"/>
            </w:tcMar>
            <w:vAlign w:val="center"/>
          </w:tcPr>
          <w:p>
            <w:pPr>
              <w:widowControl/>
              <w:jc w:val="left"/>
              <w:rPr>
                <w:rFonts w:ascii="Calibri" w:hAnsi="Calibri" w:eastAsia="宋体" w:cs="Times New Roman"/>
                <w:kern w:val="0"/>
                <w:szCs w:val="21"/>
              </w:rPr>
            </w:pPr>
            <w:r>
              <w:rPr>
                <w:rFonts w:hint="eastAsia" w:ascii="楷体" w:hAnsi="楷体" w:eastAsia="楷体" w:cs="Times New Roman"/>
                <w:color w:val="000000"/>
                <w:kern w:val="0"/>
                <w:sz w:val="20"/>
                <w:szCs w:val="20"/>
              </w:rPr>
              <w:t>（本列数据的勾稽关系为：第一项加第二项之和，等于第三项加第四项之和）</w:t>
            </w:r>
          </w:p>
        </w:tc>
        <w:tc>
          <w:tcPr>
            <w:tcW w:w="4816" w:type="dxa"/>
            <w:gridSpan w:val="7"/>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申请人情况</w:t>
            </w:r>
          </w:p>
        </w:tc>
      </w:tr>
      <w:tr>
        <w:tblPrEx>
          <w:tblLayout w:type="fixed"/>
          <w:tblCellMar>
            <w:top w:w="0" w:type="dxa"/>
            <w:left w:w="0" w:type="dxa"/>
            <w:bottom w:w="0" w:type="dxa"/>
            <w:right w:w="0" w:type="dxa"/>
          </w:tblCellMar>
        </w:tblPrEx>
        <w:trPr>
          <w:trHeight w:val="253" w:hRule="atLeast"/>
          <w:jc w:val="center"/>
        </w:trPr>
        <w:tc>
          <w:tcPr>
            <w:tcW w:w="4929" w:type="dxa"/>
            <w:gridSpan w:val="3"/>
            <w:vMerge w:val="continue"/>
            <w:tcBorders>
              <w:top w:val="single" w:color="auto" w:sz="4" w:space="0"/>
              <w:left w:val="single" w:color="auto" w:sz="4" w:space="0"/>
              <w:bottom w:val="inset" w:color="auto" w:sz="4" w:space="0"/>
              <w:right w:val="single" w:color="auto" w:sz="4" w:space="0"/>
            </w:tcBorders>
            <w:vAlign w:val="center"/>
          </w:tcPr>
          <w:p>
            <w:pPr>
              <w:widowControl/>
              <w:jc w:val="left"/>
              <w:rPr>
                <w:rFonts w:ascii="Calibri" w:hAnsi="Calibri" w:eastAsia="宋体" w:cs="Times New Roman"/>
                <w:kern w:val="0"/>
                <w:szCs w:val="21"/>
              </w:rPr>
            </w:pPr>
          </w:p>
        </w:tc>
        <w:tc>
          <w:tcPr>
            <w:tcW w:w="688" w:type="dxa"/>
            <w:vMerge w:val="restart"/>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自然人</w:t>
            </w:r>
          </w:p>
        </w:tc>
        <w:tc>
          <w:tcPr>
            <w:tcW w:w="3440" w:type="dxa"/>
            <w:gridSpan w:val="5"/>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法人或其他组织</w:t>
            </w:r>
          </w:p>
        </w:tc>
        <w:tc>
          <w:tcPr>
            <w:tcW w:w="688" w:type="dxa"/>
            <w:vMerge w:val="restart"/>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总计</w:t>
            </w:r>
          </w:p>
        </w:tc>
      </w:tr>
      <w:tr>
        <w:tblPrEx>
          <w:tblLayout w:type="fixed"/>
          <w:tblCellMar>
            <w:top w:w="0" w:type="dxa"/>
            <w:left w:w="0" w:type="dxa"/>
            <w:bottom w:w="0" w:type="dxa"/>
            <w:right w:w="0" w:type="dxa"/>
          </w:tblCellMar>
        </w:tblPrEx>
        <w:trPr>
          <w:trHeight w:val="253" w:hRule="atLeast"/>
          <w:jc w:val="center"/>
        </w:trPr>
        <w:tc>
          <w:tcPr>
            <w:tcW w:w="4929" w:type="dxa"/>
            <w:gridSpan w:val="3"/>
            <w:vMerge w:val="continue"/>
            <w:tcBorders>
              <w:top w:val="single" w:color="auto" w:sz="4" w:space="0"/>
              <w:left w:val="single" w:color="auto" w:sz="4" w:space="0"/>
              <w:bottom w:val="inset" w:color="auto" w:sz="4" w:space="0"/>
              <w:right w:val="single" w:color="auto" w:sz="4" w:space="0"/>
            </w:tcBorders>
            <w:vAlign w:val="center"/>
          </w:tcPr>
          <w:p>
            <w:pPr>
              <w:widowControl/>
              <w:jc w:val="left"/>
              <w:rPr>
                <w:rFonts w:ascii="Calibri" w:hAnsi="Calibri" w:eastAsia="宋体" w:cs="Times New Roman"/>
                <w:kern w:val="0"/>
                <w:szCs w:val="21"/>
              </w:rPr>
            </w:pPr>
          </w:p>
        </w:tc>
        <w:tc>
          <w:tcPr>
            <w:tcW w:w="688" w:type="dxa"/>
            <w:vMerge w:val="continue"/>
            <w:tcBorders>
              <w:top w:val="nil"/>
              <w:left w:val="nil"/>
              <w:bottom w:val="single" w:color="auto" w:sz="4" w:space="0"/>
              <w:right w:val="single" w:color="auto" w:sz="4" w:space="0"/>
            </w:tcBorders>
            <w:vAlign w:val="center"/>
          </w:tcPr>
          <w:p>
            <w:pPr>
              <w:widowControl/>
              <w:jc w:val="left"/>
              <w:rPr>
                <w:rFonts w:ascii="Calibri" w:hAnsi="Calibri" w:eastAsia="宋体" w:cs="Times New Roman"/>
                <w:kern w:val="0"/>
                <w:szCs w:val="21"/>
              </w:rPr>
            </w:pPr>
          </w:p>
        </w:tc>
        <w:tc>
          <w:tcPr>
            <w:tcW w:w="688"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商业</w:t>
            </w:r>
          </w:p>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企业</w:t>
            </w:r>
          </w:p>
        </w:tc>
        <w:tc>
          <w:tcPr>
            <w:tcW w:w="688"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科研</w:t>
            </w:r>
          </w:p>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机构</w:t>
            </w:r>
          </w:p>
        </w:tc>
        <w:tc>
          <w:tcPr>
            <w:tcW w:w="688"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社会公益组织</w:t>
            </w:r>
          </w:p>
        </w:tc>
        <w:tc>
          <w:tcPr>
            <w:tcW w:w="688"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法律服务机构</w:t>
            </w:r>
          </w:p>
        </w:tc>
        <w:tc>
          <w:tcPr>
            <w:tcW w:w="688"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其他</w:t>
            </w:r>
          </w:p>
        </w:tc>
        <w:tc>
          <w:tcPr>
            <w:tcW w:w="688" w:type="dxa"/>
            <w:vMerge w:val="continue"/>
            <w:tcBorders>
              <w:top w:val="single" w:color="auto" w:sz="4" w:space="0"/>
              <w:left w:val="nil"/>
              <w:bottom w:val="single" w:color="auto" w:sz="4" w:space="0"/>
              <w:right w:val="single" w:color="auto" w:sz="4" w:space="0"/>
            </w:tcBorders>
            <w:vAlign w:val="center"/>
          </w:tcPr>
          <w:p>
            <w:pPr>
              <w:widowControl/>
              <w:jc w:val="left"/>
              <w:rPr>
                <w:rFonts w:ascii="Calibri" w:hAnsi="Calibri" w:eastAsia="宋体" w:cs="Times New Roman"/>
                <w:kern w:val="0"/>
                <w:szCs w:val="21"/>
              </w:rPr>
            </w:pPr>
          </w:p>
        </w:tc>
      </w:tr>
      <w:tr>
        <w:tblPrEx>
          <w:tblLayout w:type="fixed"/>
          <w:tblCellMar>
            <w:top w:w="0" w:type="dxa"/>
            <w:left w:w="0" w:type="dxa"/>
            <w:bottom w:w="0" w:type="dxa"/>
            <w:right w:w="0" w:type="dxa"/>
          </w:tblCellMar>
        </w:tblPrEx>
        <w:trPr>
          <w:trHeight w:val="253" w:hRule="atLeast"/>
          <w:jc w:val="center"/>
        </w:trPr>
        <w:tc>
          <w:tcPr>
            <w:tcW w:w="4929" w:type="dxa"/>
            <w:gridSpan w:val="3"/>
            <w:tcBorders>
              <w:top w:val="nil"/>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jc w:val="left"/>
              <w:rPr>
                <w:rFonts w:ascii="Calibri" w:hAnsi="Calibri" w:eastAsia="宋体" w:cs="Times New Roman"/>
                <w:kern w:val="0"/>
                <w:szCs w:val="21"/>
              </w:rPr>
            </w:pPr>
            <w:r>
              <w:rPr>
                <w:rFonts w:hint="eastAsia" w:ascii="宋体" w:hAnsi="宋体" w:eastAsia="宋体" w:cs="Times New Roman"/>
                <w:color w:val="000000"/>
                <w:kern w:val="0"/>
                <w:sz w:val="20"/>
                <w:szCs w:val="20"/>
              </w:rPr>
              <w:t>一、本年新收政府信息公开申请数量</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1</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1</w:t>
            </w:r>
          </w:p>
        </w:tc>
      </w:tr>
      <w:tr>
        <w:tblPrEx>
          <w:tblLayout w:type="fixed"/>
          <w:tblCellMar>
            <w:top w:w="0" w:type="dxa"/>
            <w:left w:w="0" w:type="dxa"/>
            <w:bottom w:w="0" w:type="dxa"/>
            <w:right w:w="0" w:type="dxa"/>
          </w:tblCellMar>
        </w:tblPrEx>
        <w:trPr>
          <w:trHeight w:val="253" w:hRule="atLeast"/>
          <w:jc w:val="center"/>
        </w:trPr>
        <w:tc>
          <w:tcPr>
            <w:tcW w:w="4929" w:type="dxa"/>
            <w:gridSpan w:val="3"/>
            <w:tcBorders>
              <w:top w:val="nil"/>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jc w:val="left"/>
              <w:rPr>
                <w:rFonts w:ascii="Calibri" w:hAnsi="Calibri" w:eastAsia="宋体" w:cs="Times New Roman"/>
                <w:kern w:val="0"/>
                <w:szCs w:val="21"/>
              </w:rPr>
            </w:pPr>
            <w:r>
              <w:rPr>
                <w:rFonts w:hint="eastAsia" w:ascii="宋体" w:hAnsi="宋体" w:eastAsia="宋体" w:cs="Times New Roman"/>
                <w:color w:val="000000"/>
                <w:kern w:val="0"/>
                <w:sz w:val="20"/>
                <w:szCs w:val="20"/>
              </w:rPr>
              <w:t>二、上年结转政府信息公开申请数量</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r>
      <w:tr>
        <w:tblPrEx>
          <w:tblLayout w:type="fixed"/>
          <w:tblCellMar>
            <w:top w:w="0" w:type="dxa"/>
            <w:left w:w="0" w:type="dxa"/>
            <w:bottom w:w="0" w:type="dxa"/>
            <w:right w:w="0" w:type="dxa"/>
          </w:tblCellMar>
        </w:tblPrEx>
        <w:trPr>
          <w:trHeight w:val="253" w:hRule="atLeast"/>
          <w:jc w:val="center"/>
        </w:trPr>
        <w:tc>
          <w:tcPr>
            <w:tcW w:w="767" w:type="dxa"/>
            <w:vMerge w:val="restart"/>
            <w:tcBorders>
              <w:top w:val="nil"/>
              <w:left w:val="single" w:color="auto" w:sz="4" w:space="0"/>
              <w:bottom w:val="inset" w:color="auto" w:sz="4" w:space="0"/>
              <w:right w:val="single" w:color="auto" w:sz="4" w:space="0"/>
            </w:tcBorders>
            <w:tcMar>
              <w:top w:w="0" w:type="dxa"/>
              <w:left w:w="57" w:type="dxa"/>
              <w:bottom w:w="0" w:type="dxa"/>
              <w:right w:w="57" w:type="dxa"/>
            </w:tcMar>
            <w:vAlign w:val="center"/>
          </w:tcPr>
          <w:p>
            <w:pPr>
              <w:widowControl/>
              <w:jc w:val="left"/>
              <w:rPr>
                <w:rFonts w:ascii="Calibri" w:hAnsi="Calibri" w:eastAsia="宋体" w:cs="Times New Roman"/>
                <w:kern w:val="0"/>
                <w:szCs w:val="21"/>
              </w:rPr>
            </w:pPr>
            <w:r>
              <w:rPr>
                <w:rFonts w:hint="eastAsia" w:ascii="宋体" w:hAnsi="宋体" w:eastAsia="宋体" w:cs="Times New Roman"/>
                <w:color w:val="000000"/>
                <w:kern w:val="0"/>
                <w:sz w:val="20"/>
                <w:szCs w:val="20"/>
              </w:rPr>
              <w:t>三、本年度办理结果</w:t>
            </w:r>
          </w:p>
        </w:tc>
        <w:tc>
          <w:tcPr>
            <w:tcW w:w="4162" w:type="dxa"/>
            <w:gridSpan w:val="2"/>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left"/>
              <w:rPr>
                <w:rFonts w:ascii="Calibri" w:hAnsi="Calibri" w:eastAsia="宋体" w:cs="Times New Roman"/>
                <w:kern w:val="0"/>
                <w:szCs w:val="21"/>
              </w:rPr>
            </w:pPr>
            <w:r>
              <w:rPr>
                <w:rFonts w:hint="eastAsia" w:ascii="宋体" w:hAnsi="宋体" w:eastAsia="宋体" w:cs="Times New Roman"/>
                <w:color w:val="000000"/>
                <w:kern w:val="0"/>
                <w:sz w:val="20"/>
                <w:szCs w:val="20"/>
              </w:rPr>
              <w:t>（一）予以公开</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宋体" w:cs="Times New Roman"/>
                <w:kern w:val="0"/>
                <w:szCs w:val="21"/>
              </w:rPr>
              <w:t>1</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single" w:color="auto" w:sz="4" w:space="0"/>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宋体" w:cs="Times New Roman"/>
                <w:kern w:val="0"/>
                <w:szCs w:val="21"/>
              </w:rPr>
              <w:t>1</w:t>
            </w:r>
          </w:p>
        </w:tc>
      </w:tr>
      <w:tr>
        <w:tblPrEx>
          <w:tblLayout w:type="fixed"/>
          <w:tblCellMar>
            <w:top w:w="0" w:type="dxa"/>
            <w:left w:w="0" w:type="dxa"/>
            <w:bottom w:w="0" w:type="dxa"/>
            <w:right w:w="0" w:type="dxa"/>
          </w:tblCellMar>
        </w:tblPrEx>
        <w:trPr>
          <w:trHeight w:val="253" w:hRule="atLeast"/>
          <w:jc w:val="center"/>
        </w:trPr>
        <w:tc>
          <w:tcPr>
            <w:tcW w:w="767" w:type="dxa"/>
            <w:vMerge w:val="continue"/>
            <w:tcBorders>
              <w:top w:val="nil"/>
              <w:left w:val="single" w:color="auto" w:sz="4" w:space="0"/>
              <w:bottom w:val="inset" w:color="auto" w:sz="4" w:space="0"/>
              <w:right w:val="single" w:color="auto" w:sz="4" w:space="0"/>
            </w:tcBorders>
            <w:vAlign w:val="center"/>
          </w:tcPr>
          <w:p>
            <w:pPr>
              <w:widowControl/>
              <w:jc w:val="left"/>
              <w:rPr>
                <w:rFonts w:ascii="Calibri" w:hAnsi="Calibri" w:eastAsia="宋体" w:cs="Times New Roman"/>
                <w:kern w:val="0"/>
                <w:szCs w:val="21"/>
              </w:rPr>
            </w:pPr>
          </w:p>
        </w:tc>
        <w:tc>
          <w:tcPr>
            <w:tcW w:w="4162" w:type="dxa"/>
            <w:gridSpan w:val="2"/>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left"/>
              <w:rPr>
                <w:rFonts w:ascii="Calibri" w:hAnsi="Calibri" w:eastAsia="宋体" w:cs="Times New Roman"/>
                <w:kern w:val="0"/>
                <w:szCs w:val="21"/>
              </w:rPr>
            </w:pPr>
            <w:r>
              <w:rPr>
                <w:rFonts w:hint="eastAsia" w:ascii="宋体" w:hAnsi="宋体" w:eastAsia="宋体" w:cs="Times New Roman"/>
                <w:color w:val="000000"/>
                <w:kern w:val="0"/>
                <w:sz w:val="20"/>
                <w:szCs w:val="20"/>
              </w:rPr>
              <w:t>（二）部分公开</w:t>
            </w:r>
            <w:r>
              <w:rPr>
                <w:rFonts w:hint="eastAsia" w:ascii="楷体" w:hAnsi="楷体" w:eastAsia="楷体" w:cs="Times New Roman"/>
                <w:color w:val="000000"/>
                <w:kern w:val="0"/>
                <w:sz w:val="20"/>
                <w:szCs w:val="20"/>
              </w:rPr>
              <w:t>（区分处理的，只计这一情形，不计其他情形）</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ind w:firstLine="200"/>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p>
        </w:tc>
      </w:tr>
      <w:tr>
        <w:tblPrEx>
          <w:tblLayout w:type="fixed"/>
          <w:tblCellMar>
            <w:top w:w="0" w:type="dxa"/>
            <w:left w:w="0" w:type="dxa"/>
            <w:bottom w:w="0" w:type="dxa"/>
            <w:right w:w="0" w:type="dxa"/>
          </w:tblCellMar>
        </w:tblPrEx>
        <w:trPr>
          <w:trHeight w:val="253" w:hRule="atLeast"/>
          <w:jc w:val="center"/>
        </w:trPr>
        <w:tc>
          <w:tcPr>
            <w:tcW w:w="767" w:type="dxa"/>
            <w:vMerge w:val="continue"/>
            <w:tcBorders>
              <w:top w:val="nil"/>
              <w:left w:val="single" w:color="auto" w:sz="4" w:space="0"/>
              <w:bottom w:val="inset" w:color="auto" w:sz="4" w:space="0"/>
              <w:right w:val="single" w:color="auto" w:sz="4" w:space="0"/>
            </w:tcBorders>
            <w:vAlign w:val="center"/>
          </w:tcPr>
          <w:p>
            <w:pPr>
              <w:widowControl/>
              <w:jc w:val="left"/>
              <w:rPr>
                <w:rFonts w:ascii="Calibri" w:hAnsi="Calibri" w:eastAsia="宋体" w:cs="Times New Roman"/>
                <w:kern w:val="0"/>
                <w:szCs w:val="21"/>
              </w:rPr>
            </w:pPr>
          </w:p>
        </w:tc>
        <w:tc>
          <w:tcPr>
            <w:tcW w:w="943" w:type="dxa"/>
            <w:vMerge w:val="restart"/>
            <w:tcBorders>
              <w:top w:val="nil"/>
              <w:left w:val="nil"/>
              <w:bottom w:val="inset" w:color="auto" w:sz="4" w:space="0"/>
              <w:right w:val="single" w:color="auto" w:sz="4" w:space="0"/>
            </w:tcBorders>
            <w:tcMar>
              <w:top w:w="0" w:type="dxa"/>
              <w:left w:w="57" w:type="dxa"/>
              <w:bottom w:w="0" w:type="dxa"/>
              <w:right w:w="57" w:type="dxa"/>
            </w:tcMar>
            <w:vAlign w:val="center"/>
          </w:tcPr>
          <w:p>
            <w:pPr>
              <w:widowControl/>
              <w:jc w:val="left"/>
              <w:rPr>
                <w:rFonts w:ascii="Calibri" w:hAnsi="Calibri" w:eastAsia="宋体" w:cs="Times New Roman"/>
                <w:kern w:val="0"/>
                <w:szCs w:val="21"/>
              </w:rPr>
            </w:pPr>
            <w:r>
              <w:rPr>
                <w:rFonts w:hint="eastAsia" w:ascii="宋体" w:hAnsi="宋体" w:eastAsia="宋体" w:cs="Times New Roman"/>
                <w:color w:val="000000"/>
                <w:kern w:val="0"/>
                <w:sz w:val="20"/>
                <w:szCs w:val="20"/>
              </w:rPr>
              <w:t>（三）不予公开</w:t>
            </w:r>
          </w:p>
        </w:tc>
        <w:tc>
          <w:tcPr>
            <w:tcW w:w="3219" w:type="dxa"/>
            <w:tcBorders>
              <w:top w:val="nil"/>
              <w:left w:val="nil"/>
              <w:bottom w:val="single" w:color="auto" w:sz="4" w:space="0"/>
              <w:right w:val="single" w:color="auto" w:sz="4" w:space="0"/>
            </w:tcBorders>
            <w:tcMar>
              <w:top w:w="0" w:type="dxa"/>
              <w:left w:w="57" w:type="dxa"/>
              <w:bottom w:w="0" w:type="dxa"/>
              <w:right w:w="57" w:type="dxa"/>
            </w:tcMar>
          </w:tcPr>
          <w:p>
            <w:pPr>
              <w:widowControl/>
              <w:jc w:val="left"/>
              <w:rPr>
                <w:rFonts w:ascii="Calibri" w:hAnsi="Calibri" w:eastAsia="宋体" w:cs="Times New Roman"/>
                <w:kern w:val="0"/>
                <w:szCs w:val="21"/>
              </w:rPr>
            </w:pPr>
            <w:r>
              <w:rPr>
                <w:rFonts w:hint="eastAsia" w:ascii="宋体" w:hAnsi="宋体" w:eastAsia="宋体" w:cs="Times New Roman"/>
                <w:color w:val="000000"/>
                <w:kern w:val="0"/>
                <w:sz w:val="20"/>
                <w:szCs w:val="20"/>
              </w:rPr>
              <w:t>1.属于国家秘密</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single" w:color="auto" w:sz="4" w:space="0"/>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r>
      <w:tr>
        <w:tblPrEx>
          <w:tblLayout w:type="fixed"/>
          <w:tblCellMar>
            <w:top w:w="0" w:type="dxa"/>
            <w:left w:w="0" w:type="dxa"/>
            <w:bottom w:w="0" w:type="dxa"/>
            <w:right w:w="0" w:type="dxa"/>
          </w:tblCellMar>
        </w:tblPrEx>
        <w:trPr>
          <w:trHeight w:val="253" w:hRule="atLeast"/>
          <w:jc w:val="center"/>
        </w:trPr>
        <w:tc>
          <w:tcPr>
            <w:tcW w:w="767" w:type="dxa"/>
            <w:vMerge w:val="continue"/>
            <w:tcBorders>
              <w:top w:val="nil"/>
              <w:left w:val="single" w:color="auto" w:sz="4" w:space="0"/>
              <w:bottom w:val="inset" w:color="auto" w:sz="4" w:space="0"/>
              <w:right w:val="single" w:color="auto" w:sz="4" w:space="0"/>
            </w:tcBorders>
            <w:vAlign w:val="center"/>
          </w:tcPr>
          <w:p>
            <w:pPr>
              <w:widowControl/>
              <w:jc w:val="left"/>
              <w:rPr>
                <w:rFonts w:ascii="Calibri" w:hAnsi="Calibri" w:eastAsia="宋体" w:cs="Times New Roman"/>
                <w:kern w:val="0"/>
                <w:szCs w:val="21"/>
              </w:rPr>
            </w:pPr>
          </w:p>
        </w:tc>
        <w:tc>
          <w:tcPr>
            <w:tcW w:w="943" w:type="dxa"/>
            <w:vMerge w:val="continue"/>
            <w:tcBorders>
              <w:top w:val="nil"/>
              <w:left w:val="nil"/>
              <w:bottom w:val="inset" w:color="auto" w:sz="4" w:space="0"/>
              <w:right w:val="single" w:color="auto" w:sz="4" w:space="0"/>
            </w:tcBorders>
            <w:vAlign w:val="center"/>
          </w:tcPr>
          <w:p>
            <w:pPr>
              <w:widowControl/>
              <w:jc w:val="left"/>
              <w:rPr>
                <w:rFonts w:ascii="Calibri" w:hAnsi="Calibri" w:eastAsia="宋体" w:cs="Times New Roman"/>
                <w:kern w:val="0"/>
                <w:szCs w:val="21"/>
              </w:rPr>
            </w:pPr>
          </w:p>
        </w:tc>
        <w:tc>
          <w:tcPr>
            <w:tcW w:w="3219" w:type="dxa"/>
            <w:tcBorders>
              <w:top w:val="nil"/>
              <w:left w:val="nil"/>
              <w:bottom w:val="single" w:color="auto" w:sz="4" w:space="0"/>
              <w:right w:val="single" w:color="auto" w:sz="4" w:space="0"/>
            </w:tcBorders>
            <w:tcMar>
              <w:top w:w="0" w:type="dxa"/>
              <w:left w:w="57" w:type="dxa"/>
              <w:bottom w:w="0" w:type="dxa"/>
              <w:right w:w="57" w:type="dxa"/>
            </w:tcMar>
          </w:tcPr>
          <w:p>
            <w:pPr>
              <w:widowControl/>
              <w:jc w:val="left"/>
              <w:rPr>
                <w:rFonts w:ascii="Calibri" w:hAnsi="Calibri" w:eastAsia="宋体" w:cs="Times New Roman"/>
                <w:kern w:val="0"/>
                <w:szCs w:val="21"/>
              </w:rPr>
            </w:pPr>
            <w:r>
              <w:rPr>
                <w:rFonts w:hint="eastAsia" w:ascii="宋体" w:hAnsi="宋体" w:eastAsia="宋体" w:cs="Times New Roman"/>
                <w:color w:val="000000"/>
                <w:kern w:val="0"/>
                <w:sz w:val="20"/>
                <w:szCs w:val="20"/>
              </w:rPr>
              <w:t>2.其他法律行政法规禁止公开</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r>
      <w:tr>
        <w:tblPrEx>
          <w:tblLayout w:type="fixed"/>
          <w:tblCellMar>
            <w:top w:w="0" w:type="dxa"/>
            <w:left w:w="0" w:type="dxa"/>
            <w:bottom w:w="0" w:type="dxa"/>
            <w:right w:w="0" w:type="dxa"/>
          </w:tblCellMar>
        </w:tblPrEx>
        <w:trPr>
          <w:trHeight w:val="253" w:hRule="atLeast"/>
          <w:jc w:val="center"/>
        </w:trPr>
        <w:tc>
          <w:tcPr>
            <w:tcW w:w="767" w:type="dxa"/>
            <w:vMerge w:val="continue"/>
            <w:tcBorders>
              <w:top w:val="nil"/>
              <w:left w:val="single" w:color="auto" w:sz="4" w:space="0"/>
              <w:bottom w:val="inset" w:color="auto" w:sz="4" w:space="0"/>
              <w:right w:val="single" w:color="auto" w:sz="4" w:space="0"/>
            </w:tcBorders>
            <w:vAlign w:val="center"/>
          </w:tcPr>
          <w:p>
            <w:pPr>
              <w:widowControl/>
              <w:jc w:val="left"/>
              <w:rPr>
                <w:rFonts w:ascii="Calibri" w:hAnsi="Calibri" w:eastAsia="宋体" w:cs="Times New Roman"/>
                <w:kern w:val="0"/>
                <w:szCs w:val="21"/>
              </w:rPr>
            </w:pPr>
          </w:p>
        </w:tc>
        <w:tc>
          <w:tcPr>
            <w:tcW w:w="943" w:type="dxa"/>
            <w:vMerge w:val="continue"/>
            <w:tcBorders>
              <w:top w:val="nil"/>
              <w:left w:val="nil"/>
              <w:bottom w:val="inset" w:color="auto" w:sz="4" w:space="0"/>
              <w:right w:val="single" w:color="auto" w:sz="4" w:space="0"/>
            </w:tcBorders>
            <w:vAlign w:val="center"/>
          </w:tcPr>
          <w:p>
            <w:pPr>
              <w:widowControl/>
              <w:jc w:val="left"/>
              <w:rPr>
                <w:rFonts w:ascii="Calibri" w:hAnsi="Calibri" w:eastAsia="宋体" w:cs="Times New Roman"/>
                <w:kern w:val="0"/>
                <w:szCs w:val="21"/>
              </w:rPr>
            </w:pPr>
          </w:p>
        </w:tc>
        <w:tc>
          <w:tcPr>
            <w:tcW w:w="3219" w:type="dxa"/>
            <w:tcBorders>
              <w:top w:val="nil"/>
              <w:left w:val="nil"/>
              <w:bottom w:val="single" w:color="auto" w:sz="4" w:space="0"/>
              <w:right w:val="single" w:color="auto" w:sz="4" w:space="0"/>
            </w:tcBorders>
            <w:tcMar>
              <w:top w:w="0" w:type="dxa"/>
              <w:left w:w="57" w:type="dxa"/>
              <w:bottom w:w="0" w:type="dxa"/>
              <w:right w:w="57" w:type="dxa"/>
            </w:tcMar>
          </w:tcPr>
          <w:p>
            <w:pPr>
              <w:widowControl/>
              <w:jc w:val="left"/>
              <w:rPr>
                <w:rFonts w:ascii="Calibri" w:hAnsi="Calibri" w:eastAsia="宋体" w:cs="Times New Roman"/>
                <w:kern w:val="0"/>
                <w:szCs w:val="21"/>
              </w:rPr>
            </w:pPr>
            <w:r>
              <w:rPr>
                <w:rFonts w:hint="eastAsia" w:ascii="宋体" w:hAnsi="宋体" w:eastAsia="宋体" w:cs="Times New Roman"/>
                <w:color w:val="000000"/>
                <w:kern w:val="0"/>
                <w:sz w:val="20"/>
                <w:szCs w:val="20"/>
              </w:rPr>
              <w:t>3.危及“三安全一稳定”</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r>
      <w:tr>
        <w:tblPrEx>
          <w:tblLayout w:type="fixed"/>
          <w:tblCellMar>
            <w:top w:w="0" w:type="dxa"/>
            <w:left w:w="0" w:type="dxa"/>
            <w:bottom w:w="0" w:type="dxa"/>
            <w:right w:w="0" w:type="dxa"/>
          </w:tblCellMar>
        </w:tblPrEx>
        <w:trPr>
          <w:trHeight w:val="253" w:hRule="atLeast"/>
          <w:jc w:val="center"/>
        </w:trPr>
        <w:tc>
          <w:tcPr>
            <w:tcW w:w="767" w:type="dxa"/>
            <w:vMerge w:val="continue"/>
            <w:tcBorders>
              <w:top w:val="nil"/>
              <w:left w:val="single" w:color="auto" w:sz="4" w:space="0"/>
              <w:bottom w:val="inset" w:color="auto" w:sz="4" w:space="0"/>
              <w:right w:val="single" w:color="auto" w:sz="4" w:space="0"/>
            </w:tcBorders>
            <w:vAlign w:val="center"/>
          </w:tcPr>
          <w:p>
            <w:pPr>
              <w:widowControl/>
              <w:jc w:val="left"/>
              <w:rPr>
                <w:rFonts w:ascii="Calibri" w:hAnsi="Calibri" w:eastAsia="宋体" w:cs="Times New Roman"/>
                <w:kern w:val="0"/>
                <w:szCs w:val="21"/>
              </w:rPr>
            </w:pPr>
          </w:p>
        </w:tc>
        <w:tc>
          <w:tcPr>
            <w:tcW w:w="943" w:type="dxa"/>
            <w:vMerge w:val="continue"/>
            <w:tcBorders>
              <w:top w:val="nil"/>
              <w:left w:val="nil"/>
              <w:bottom w:val="inset" w:color="auto" w:sz="4" w:space="0"/>
              <w:right w:val="single" w:color="auto" w:sz="4" w:space="0"/>
            </w:tcBorders>
            <w:vAlign w:val="center"/>
          </w:tcPr>
          <w:p>
            <w:pPr>
              <w:widowControl/>
              <w:jc w:val="left"/>
              <w:rPr>
                <w:rFonts w:ascii="Calibri" w:hAnsi="Calibri" w:eastAsia="宋体" w:cs="Times New Roman"/>
                <w:kern w:val="0"/>
                <w:szCs w:val="21"/>
              </w:rPr>
            </w:pPr>
          </w:p>
        </w:tc>
        <w:tc>
          <w:tcPr>
            <w:tcW w:w="3219" w:type="dxa"/>
            <w:tcBorders>
              <w:top w:val="nil"/>
              <w:left w:val="nil"/>
              <w:bottom w:val="single" w:color="auto" w:sz="4" w:space="0"/>
              <w:right w:val="single" w:color="auto" w:sz="4" w:space="0"/>
            </w:tcBorders>
            <w:tcMar>
              <w:top w:w="0" w:type="dxa"/>
              <w:left w:w="57" w:type="dxa"/>
              <w:bottom w:w="0" w:type="dxa"/>
              <w:right w:w="57" w:type="dxa"/>
            </w:tcMar>
          </w:tcPr>
          <w:p>
            <w:pPr>
              <w:widowControl/>
              <w:jc w:val="left"/>
              <w:rPr>
                <w:rFonts w:ascii="Calibri" w:hAnsi="Calibri" w:eastAsia="宋体" w:cs="Times New Roman"/>
                <w:kern w:val="0"/>
                <w:szCs w:val="21"/>
              </w:rPr>
            </w:pPr>
            <w:r>
              <w:rPr>
                <w:rFonts w:hint="eastAsia" w:ascii="宋体" w:hAnsi="宋体" w:eastAsia="宋体" w:cs="Times New Roman"/>
                <w:color w:val="000000"/>
                <w:kern w:val="0"/>
                <w:sz w:val="20"/>
                <w:szCs w:val="20"/>
              </w:rPr>
              <w:t>4.保护第三方合法权益</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r>
      <w:tr>
        <w:tblPrEx>
          <w:tblLayout w:type="fixed"/>
          <w:tblCellMar>
            <w:top w:w="0" w:type="dxa"/>
            <w:left w:w="0" w:type="dxa"/>
            <w:bottom w:w="0" w:type="dxa"/>
            <w:right w:w="0" w:type="dxa"/>
          </w:tblCellMar>
        </w:tblPrEx>
        <w:trPr>
          <w:trHeight w:val="253" w:hRule="atLeast"/>
          <w:jc w:val="center"/>
        </w:trPr>
        <w:tc>
          <w:tcPr>
            <w:tcW w:w="767" w:type="dxa"/>
            <w:vMerge w:val="continue"/>
            <w:tcBorders>
              <w:top w:val="nil"/>
              <w:left w:val="single" w:color="auto" w:sz="4" w:space="0"/>
              <w:bottom w:val="inset" w:color="auto" w:sz="4" w:space="0"/>
              <w:right w:val="single" w:color="auto" w:sz="4" w:space="0"/>
            </w:tcBorders>
            <w:vAlign w:val="center"/>
          </w:tcPr>
          <w:p>
            <w:pPr>
              <w:widowControl/>
              <w:jc w:val="left"/>
              <w:rPr>
                <w:rFonts w:ascii="Calibri" w:hAnsi="Calibri" w:eastAsia="宋体" w:cs="Times New Roman"/>
                <w:kern w:val="0"/>
                <w:szCs w:val="21"/>
              </w:rPr>
            </w:pPr>
          </w:p>
        </w:tc>
        <w:tc>
          <w:tcPr>
            <w:tcW w:w="943" w:type="dxa"/>
            <w:vMerge w:val="continue"/>
            <w:tcBorders>
              <w:top w:val="nil"/>
              <w:left w:val="nil"/>
              <w:bottom w:val="inset" w:color="auto" w:sz="4" w:space="0"/>
              <w:right w:val="single" w:color="auto" w:sz="4" w:space="0"/>
            </w:tcBorders>
            <w:vAlign w:val="center"/>
          </w:tcPr>
          <w:p>
            <w:pPr>
              <w:widowControl/>
              <w:jc w:val="left"/>
              <w:rPr>
                <w:rFonts w:ascii="Calibri" w:hAnsi="Calibri" w:eastAsia="宋体" w:cs="Times New Roman"/>
                <w:kern w:val="0"/>
                <w:szCs w:val="21"/>
              </w:rPr>
            </w:pPr>
          </w:p>
        </w:tc>
        <w:tc>
          <w:tcPr>
            <w:tcW w:w="3219" w:type="dxa"/>
            <w:tcBorders>
              <w:top w:val="nil"/>
              <w:left w:val="nil"/>
              <w:bottom w:val="single" w:color="auto" w:sz="4" w:space="0"/>
              <w:right w:val="single" w:color="auto" w:sz="4" w:space="0"/>
            </w:tcBorders>
            <w:tcMar>
              <w:top w:w="0" w:type="dxa"/>
              <w:left w:w="57" w:type="dxa"/>
              <w:bottom w:w="0" w:type="dxa"/>
              <w:right w:w="57" w:type="dxa"/>
            </w:tcMar>
          </w:tcPr>
          <w:p>
            <w:pPr>
              <w:widowControl/>
              <w:jc w:val="left"/>
              <w:rPr>
                <w:rFonts w:ascii="Calibri" w:hAnsi="Calibri" w:eastAsia="宋体" w:cs="Times New Roman"/>
                <w:kern w:val="0"/>
                <w:szCs w:val="21"/>
              </w:rPr>
            </w:pPr>
            <w:r>
              <w:rPr>
                <w:rFonts w:hint="eastAsia" w:ascii="宋体" w:hAnsi="宋体" w:eastAsia="宋体" w:cs="Times New Roman"/>
                <w:color w:val="000000"/>
                <w:kern w:val="0"/>
                <w:sz w:val="20"/>
                <w:szCs w:val="20"/>
              </w:rPr>
              <w:t>5.属于三类内部事务信息</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r>
      <w:tr>
        <w:tblPrEx>
          <w:tblLayout w:type="fixed"/>
          <w:tblCellMar>
            <w:top w:w="0" w:type="dxa"/>
            <w:left w:w="0" w:type="dxa"/>
            <w:bottom w:w="0" w:type="dxa"/>
            <w:right w:w="0" w:type="dxa"/>
          </w:tblCellMar>
        </w:tblPrEx>
        <w:trPr>
          <w:trHeight w:val="253" w:hRule="atLeast"/>
          <w:jc w:val="center"/>
        </w:trPr>
        <w:tc>
          <w:tcPr>
            <w:tcW w:w="767" w:type="dxa"/>
            <w:vMerge w:val="continue"/>
            <w:tcBorders>
              <w:top w:val="nil"/>
              <w:left w:val="single" w:color="auto" w:sz="4" w:space="0"/>
              <w:bottom w:val="inset" w:color="auto" w:sz="4" w:space="0"/>
              <w:right w:val="single" w:color="auto" w:sz="4" w:space="0"/>
            </w:tcBorders>
            <w:vAlign w:val="center"/>
          </w:tcPr>
          <w:p>
            <w:pPr>
              <w:widowControl/>
              <w:jc w:val="left"/>
              <w:rPr>
                <w:rFonts w:ascii="Calibri" w:hAnsi="Calibri" w:eastAsia="宋体" w:cs="Times New Roman"/>
                <w:kern w:val="0"/>
                <w:szCs w:val="21"/>
              </w:rPr>
            </w:pPr>
          </w:p>
        </w:tc>
        <w:tc>
          <w:tcPr>
            <w:tcW w:w="943" w:type="dxa"/>
            <w:vMerge w:val="continue"/>
            <w:tcBorders>
              <w:top w:val="nil"/>
              <w:left w:val="nil"/>
              <w:bottom w:val="inset" w:color="auto" w:sz="4" w:space="0"/>
              <w:right w:val="single" w:color="auto" w:sz="4" w:space="0"/>
            </w:tcBorders>
            <w:vAlign w:val="center"/>
          </w:tcPr>
          <w:p>
            <w:pPr>
              <w:widowControl/>
              <w:jc w:val="left"/>
              <w:rPr>
                <w:rFonts w:ascii="Calibri" w:hAnsi="Calibri" w:eastAsia="宋体" w:cs="Times New Roman"/>
                <w:kern w:val="0"/>
                <w:szCs w:val="21"/>
              </w:rPr>
            </w:pPr>
          </w:p>
        </w:tc>
        <w:tc>
          <w:tcPr>
            <w:tcW w:w="3219" w:type="dxa"/>
            <w:tcBorders>
              <w:top w:val="nil"/>
              <w:left w:val="nil"/>
              <w:bottom w:val="single" w:color="auto" w:sz="4" w:space="0"/>
              <w:right w:val="single" w:color="auto" w:sz="4" w:space="0"/>
            </w:tcBorders>
            <w:tcMar>
              <w:top w:w="0" w:type="dxa"/>
              <w:left w:w="57" w:type="dxa"/>
              <w:bottom w:w="0" w:type="dxa"/>
              <w:right w:w="57" w:type="dxa"/>
            </w:tcMar>
          </w:tcPr>
          <w:p>
            <w:pPr>
              <w:widowControl/>
              <w:jc w:val="left"/>
              <w:rPr>
                <w:rFonts w:ascii="Calibri" w:hAnsi="Calibri" w:eastAsia="宋体" w:cs="Times New Roman"/>
                <w:kern w:val="0"/>
                <w:szCs w:val="21"/>
              </w:rPr>
            </w:pPr>
            <w:r>
              <w:rPr>
                <w:rFonts w:hint="eastAsia" w:ascii="宋体" w:hAnsi="宋体" w:eastAsia="宋体" w:cs="Times New Roman"/>
                <w:color w:val="000000"/>
                <w:kern w:val="0"/>
                <w:sz w:val="20"/>
                <w:szCs w:val="20"/>
              </w:rPr>
              <w:t>6.属于四类过程性信息</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r>
      <w:tr>
        <w:tblPrEx>
          <w:tblLayout w:type="fixed"/>
          <w:tblCellMar>
            <w:top w:w="0" w:type="dxa"/>
            <w:left w:w="0" w:type="dxa"/>
            <w:bottom w:w="0" w:type="dxa"/>
            <w:right w:w="0" w:type="dxa"/>
          </w:tblCellMar>
        </w:tblPrEx>
        <w:trPr>
          <w:trHeight w:val="253" w:hRule="atLeast"/>
          <w:jc w:val="center"/>
        </w:trPr>
        <w:tc>
          <w:tcPr>
            <w:tcW w:w="767" w:type="dxa"/>
            <w:vMerge w:val="continue"/>
            <w:tcBorders>
              <w:top w:val="nil"/>
              <w:left w:val="single" w:color="auto" w:sz="4" w:space="0"/>
              <w:bottom w:val="inset" w:color="auto" w:sz="4" w:space="0"/>
              <w:right w:val="single" w:color="auto" w:sz="4" w:space="0"/>
            </w:tcBorders>
            <w:vAlign w:val="center"/>
          </w:tcPr>
          <w:p>
            <w:pPr>
              <w:widowControl/>
              <w:jc w:val="left"/>
              <w:rPr>
                <w:rFonts w:ascii="Calibri" w:hAnsi="Calibri" w:eastAsia="宋体" w:cs="Times New Roman"/>
                <w:kern w:val="0"/>
                <w:szCs w:val="21"/>
              </w:rPr>
            </w:pPr>
          </w:p>
        </w:tc>
        <w:tc>
          <w:tcPr>
            <w:tcW w:w="943" w:type="dxa"/>
            <w:vMerge w:val="continue"/>
            <w:tcBorders>
              <w:top w:val="nil"/>
              <w:left w:val="nil"/>
              <w:bottom w:val="inset" w:color="auto" w:sz="4" w:space="0"/>
              <w:right w:val="single" w:color="auto" w:sz="4" w:space="0"/>
            </w:tcBorders>
            <w:vAlign w:val="center"/>
          </w:tcPr>
          <w:p>
            <w:pPr>
              <w:widowControl/>
              <w:jc w:val="left"/>
              <w:rPr>
                <w:rFonts w:ascii="Calibri" w:hAnsi="Calibri" w:eastAsia="宋体" w:cs="Times New Roman"/>
                <w:kern w:val="0"/>
                <w:szCs w:val="21"/>
              </w:rPr>
            </w:pPr>
          </w:p>
        </w:tc>
        <w:tc>
          <w:tcPr>
            <w:tcW w:w="3219" w:type="dxa"/>
            <w:tcBorders>
              <w:top w:val="nil"/>
              <w:left w:val="nil"/>
              <w:bottom w:val="single" w:color="auto" w:sz="4" w:space="0"/>
              <w:right w:val="single" w:color="auto" w:sz="4" w:space="0"/>
            </w:tcBorders>
            <w:tcMar>
              <w:top w:w="0" w:type="dxa"/>
              <w:left w:w="57" w:type="dxa"/>
              <w:bottom w:w="0" w:type="dxa"/>
              <w:right w:w="57" w:type="dxa"/>
            </w:tcMar>
          </w:tcPr>
          <w:p>
            <w:pPr>
              <w:widowControl/>
              <w:jc w:val="left"/>
              <w:rPr>
                <w:rFonts w:ascii="Calibri" w:hAnsi="Calibri" w:eastAsia="宋体" w:cs="Times New Roman"/>
                <w:kern w:val="0"/>
                <w:szCs w:val="21"/>
              </w:rPr>
            </w:pPr>
            <w:r>
              <w:rPr>
                <w:rFonts w:hint="eastAsia" w:ascii="宋体" w:hAnsi="宋体" w:eastAsia="宋体" w:cs="Times New Roman"/>
                <w:color w:val="000000"/>
                <w:kern w:val="0"/>
                <w:sz w:val="20"/>
                <w:szCs w:val="20"/>
              </w:rPr>
              <w:t>7.属于行政执法案卷</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r>
      <w:tr>
        <w:tblPrEx>
          <w:tblLayout w:type="fixed"/>
          <w:tblCellMar>
            <w:top w:w="0" w:type="dxa"/>
            <w:left w:w="0" w:type="dxa"/>
            <w:bottom w:w="0" w:type="dxa"/>
            <w:right w:w="0" w:type="dxa"/>
          </w:tblCellMar>
        </w:tblPrEx>
        <w:trPr>
          <w:trHeight w:val="253" w:hRule="atLeast"/>
          <w:jc w:val="center"/>
        </w:trPr>
        <w:tc>
          <w:tcPr>
            <w:tcW w:w="767" w:type="dxa"/>
            <w:vMerge w:val="continue"/>
            <w:tcBorders>
              <w:top w:val="nil"/>
              <w:left w:val="single" w:color="auto" w:sz="4" w:space="0"/>
              <w:bottom w:val="inset" w:color="auto" w:sz="4" w:space="0"/>
              <w:right w:val="single" w:color="auto" w:sz="4" w:space="0"/>
            </w:tcBorders>
            <w:vAlign w:val="center"/>
          </w:tcPr>
          <w:p>
            <w:pPr>
              <w:widowControl/>
              <w:jc w:val="left"/>
              <w:rPr>
                <w:rFonts w:ascii="Calibri" w:hAnsi="Calibri" w:eastAsia="宋体" w:cs="Times New Roman"/>
                <w:kern w:val="0"/>
                <w:szCs w:val="21"/>
              </w:rPr>
            </w:pPr>
          </w:p>
        </w:tc>
        <w:tc>
          <w:tcPr>
            <w:tcW w:w="943" w:type="dxa"/>
            <w:vMerge w:val="continue"/>
            <w:tcBorders>
              <w:top w:val="nil"/>
              <w:left w:val="nil"/>
              <w:bottom w:val="inset" w:color="auto" w:sz="4" w:space="0"/>
              <w:right w:val="single" w:color="auto" w:sz="4" w:space="0"/>
            </w:tcBorders>
            <w:vAlign w:val="center"/>
          </w:tcPr>
          <w:p>
            <w:pPr>
              <w:widowControl/>
              <w:jc w:val="left"/>
              <w:rPr>
                <w:rFonts w:ascii="Calibri" w:hAnsi="Calibri" w:eastAsia="宋体" w:cs="Times New Roman"/>
                <w:kern w:val="0"/>
                <w:szCs w:val="21"/>
              </w:rPr>
            </w:pPr>
          </w:p>
        </w:tc>
        <w:tc>
          <w:tcPr>
            <w:tcW w:w="3219" w:type="dxa"/>
            <w:tcBorders>
              <w:top w:val="nil"/>
              <w:left w:val="nil"/>
              <w:bottom w:val="single" w:color="auto" w:sz="4" w:space="0"/>
              <w:right w:val="single" w:color="auto" w:sz="4" w:space="0"/>
            </w:tcBorders>
            <w:tcMar>
              <w:top w:w="0" w:type="dxa"/>
              <w:left w:w="57" w:type="dxa"/>
              <w:bottom w:w="0" w:type="dxa"/>
              <w:right w:w="57" w:type="dxa"/>
            </w:tcMar>
          </w:tcPr>
          <w:p>
            <w:pPr>
              <w:widowControl/>
              <w:jc w:val="left"/>
              <w:rPr>
                <w:rFonts w:ascii="Calibri" w:hAnsi="Calibri" w:eastAsia="宋体" w:cs="Times New Roman"/>
                <w:kern w:val="0"/>
                <w:szCs w:val="21"/>
              </w:rPr>
            </w:pPr>
            <w:r>
              <w:rPr>
                <w:rFonts w:hint="eastAsia" w:ascii="宋体" w:hAnsi="宋体" w:eastAsia="宋体" w:cs="Times New Roman"/>
                <w:color w:val="000000"/>
                <w:kern w:val="0"/>
                <w:sz w:val="20"/>
                <w:szCs w:val="20"/>
              </w:rPr>
              <w:t>8.属于行政查询事项</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r>
      <w:tr>
        <w:tblPrEx>
          <w:tblLayout w:type="fixed"/>
          <w:tblCellMar>
            <w:top w:w="0" w:type="dxa"/>
            <w:left w:w="0" w:type="dxa"/>
            <w:bottom w:w="0" w:type="dxa"/>
            <w:right w:w="0" w:type="dxa"/>
          </w:tblCellMar>
        </w:tblPrEx>
        <w:trPr>
          <w:trHeight w:val="253" w:hRule="atLeast"/>
          <w:jc w:val="center"/>
        </w:trPr>
        <w:tc>
          <w:tcPr>
            <w:tcW w:w="767" w:type="dxa"/>
            <w:vMerge w:val="continue"/>
            <w:tcBorders>
              <w:top w:val="nil"/>
              <w:left w:val="single" w:color="auto" w:sz="4" w:space="0"/>
              <w:bottom w:val="inset" w:color="auto" w:sz="4" w:space="0"/>
              <w:right w:val="single" w:color="auto" w:sz="4" w:space="0"/>
            </w:tcBorders>
            <w:vAlign w:val="center"/>
          </w:tcPr>
          <w:p>
            <w:pPr>
              <w:widowControl/>
              <w:jc w:val="left"/>
              <w:rPr>
                <w:rFonts w:ascii="Calibri" w:hAnsi="Calibri" w:eastAsia="宋体" w:cs="Times New Roman"/>
                <w:kern w:val="0"/>
                <w:szCs w:val="21"/>
              </w:rPr>
            </w:pPr>
          </w:p>
        </w:tc>
        <w:tc>
          <w:tcPr>
            <w:tcW w:w="943" w:type="dxa"/>
            <w:vMerge w:val="restart"/>
            <w:tcBorders>
              <w:top w:val="nil"/>
              <w:left w:val="nil"/>
              <w:bottom w:val="inset" w:color="auto" w:sz="4" w:space="0"/>
              <w:right w:val="single" w:color="auto" w:sz="4" w:space="0"/>
            </w:tcBorders>
            <w:tcMar>
              <w:top w:w="0" w:type="dxa"/>
              <w:left w:w="57" w:type="dxa"/>
              <w:bottom w:w="0" w:type="dxa"/>
              <w:right w:w="57" w:type="dxa"/>
            </w:tcMar>
            <w:vAlign w:val="center"/>
          </w:tcPr>
          <w:p>
            <w:pPr>
              <w:widowControl/>
              <w:jc w:val="left"/>
              <w:rPr>
                <w:rFonts w:ascii="Calibri" w:hAnsi="Calibri" w:eastAsia="宋体" w:cs="Times New Roman"/>
                <w:kern w:val="0"/>
                <w:szCs w:val="21"/>
              </w:rPr>
            </w:pPr>
            <w:r>
              <w:rPr>
                <w:rFonts w:hint="eastAsia" w:ascii="宋体" w:hAnsi="宋体" w:eastAsia="宋体" w:cs="Times New Roman"/>
                <w:color w:val="000000"/>
                <w:kern w:val="0"/>
                <w:sz w:val="20"/>
                <w:szCs w:val="20"/>
              </w:rPr>
              <w:t>（四）无法提供</w:t>
            </w:r>
          </w:p>
        </w:tc>
        <w:tc>
          <w:tcPr>
            <w:tcW w:w="3219" w:type="dxa"/>
            <w:tcBorders>
              <w:top w:val="nil"/>
              <w:left w:val="nil"/>
              <w:bottom w:val="single" w:color="auto" w:sz="4" w:space="0"/>
              <w:right w:val="single" w:color="auto" w:sz="4" w:space="0"/>
            </w:tcBorders>
            <w:tcMar>
              <w:top w:w="0" w:type="dxa"/>
              <w:left w:w="57" w:type="dxa"/>
              <w:bottom w:w="0" w:type="dxa"/>
              <w:right w:w="57" w:type="dxa"/>
            </w:tcMar>
          </w:tcPr>
          <w:p>
            <w:pPr>
              <w:widowControl/>
              <w:jc w:val="left"/>
              <w:rPr>
                <w:rFonts w:ascii="Calibri" w:hAnsi="Calibri" w:eastAsia="宋体" w:cs="Times New Roman"/>
                <w:kern w:val="0"/>
                <w:szCs w:val="21"/>
              </w:rPr>
            </w:pPr>
            <w:r>
              <w:rPr>
                <w:rFonts w:hint="eastAsia" w:ascii="宋体" w:hAnsi="宋体" w:eastAsia="宋体" w:cs="Times New Roman"/>
                <w:color w:val="000000"/>
                <w:kern w:val="0"/>
                <w:sz w:val="20"/>
                <w:szCs w:val="20"/>
              </w:rPr>
              <w:t>1.本机关不掌握相关政府信息</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r>
      <w:tr>
        <w:tblPrEx>
          <w:tblLayout w:type="fixed"/>
          <w:tblCellMar>
            <w:top w:w="0" w:type="dxa"/>
            <w:left w:w="0" w:type="dxa"/>
            <w:bottom w:w="0" w:type="dxa"/>
            <w:right w:w="0" w:type="dxa"/>
          </w:tblCellMar>
        </w:tblPrEx>
        <w:trPr>
          <w:trHeight w:val="253" w:hRule="atLeast"/>
          <w:jc w:val="center"/>
        </w:trPr>
        <w:tc>
          <w:tcPr>
            <w:tcW w:w="767" w:type="dxa"/>
            <w:vMerge w:val="continue"/>
            <w:tcBorders>
              <w:top w:val="nil"/>
              <w:left w:val="single" w:color="auto" w:sz="4" w:space="0"/>
              <w:bottom w:val="inset" w:color="auto" w:sz="4" w:space="0"/>
              <w:right w:val="single" w:color="auto" w:sz="4" w:space="0"/>
            </w:tcBorders>
            <w:vAlign w:val="center"/>
          </w:tcPr>
          <w:p>
            <w:pPr>
              <w:widowControl/>
              <w:jc w:val="left"/>
              <w:rPr>
                <w:rFonts w:ascii="Calibri" w:hAnsi="Calibri" w:eastAsia="宋体" w:cs="Times New Roman"/>
                <w:kern w:val="0"/>
                <w:szCs w:val="21"/>
              </w:rPr>
            </w:pPr>
          </w:p>
        </w:tc>
        <w:tc>
          <w:tcPr>
            <w:tcW w:w="943" w:type="dxa"/>
            <w:vMerge w:val="continue"/>
            <w:tcBorders>
              <w:top w:val="nil"/>
              <w:left w:val="nil"/>
              <w:bottom w:val="inset" w:color="auto" w:sz="4" w:space="0"/>
              <w:right w:val="single" w:color="auto" w:sz="4" w:space="0"/>
            </w:tcBorders>
            <w:vAlign w:val="center"/>
          </w:tcPr>
          <w:p>
            <w:pPr>
              <w:widowControl/>
              <w:jc w:val="left"/>
              <w:rPr>
                <w:rFonts w:ascii="Calibri" w:hAnsi="Calibri" w:eastAsia="宋体" w:cs="Times New Roman"/>
                <w:kern w:val="0"/>
                <w:szCs w:val="21"/>
              </w:rPr>
            </w:pPr>
          </w:p>
        </w:tc>
        <w:tc>
          <w:tcPr>
            <w:tcW w:w="3219" w:type="dxa"/>
            <w:tcBorders>
              <w:top w:val="nil"/>
              <w:left w:val="nil"/>
              <w:bottom w:val="single" w:color="auto" w:sz="4" w:space="0"/>
              <w:right w:val="single" w:color="auto" w:sz="4" w:space="0"/>
            </w:tcBorders>
            <w:tcMar>
              <w:top w:w="0" w:type="dxa"/>
              <w:left w:w="57" w:type="dxa"/>
              <w:bottom w:w="0" w:type="dxa"/>
              <w:right w:w="57" w:type="dxa"/>
            </w:tcMar>
          </w:tcPr>
          <w:p>
            <w:pPr>
              <w:widowControl/>
              <w:jc w:val="left"/>
              <w:rPr>
                <w:rFonts w:ascii="Calibri" w:hAnsi="Calibri" w:eastAsia="宋体" w:cs="Times New Roman"/>
                <w:kern w:val="0"/>
                <w:szCs w:val="21"/>
              </w:rPr>
            </w:pPr>
            <w:r>
              <w:rPr>
                <w:rFonts w:hint="eastAsia" w:ascii="宋体" w:hAnsi="宋体" w:eastAsia="宋体" w:cs="Times New Roman"/>
                <w:color w:val="000000"/>
                <w:kern w:val="0"/>
                <w:sz w:val="20"/>
                <w:szCs w:val="20"/>
              </w:rPr>
              <w:t>2.没有现成信息需要另行制作</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r>
      <w:tr>
        <w:tblPrEx>
          <w:tblLayout w:type="fixed"/>
          <w:tblCellMar>
            <w:top w:w="0" w:type="dxa"/>
            <w:left w:w="0" w:type="dxa"/>
            <w:bottom w:w="0" w:type="dxa"/>
            <w:right w:w="0" w:type="dxa"/>
          </w:tblCellMar>
        </w:tblPrEx>
        <w:trPr>
          <w:trHeight w:val="253" w:hRule="atLeast"/>
          <w:jc w:val="center"/>
        </w:trPr>
        <w:tc>
          <w:tcPr>
            <w:tcW w:w="767" w:type="dxa"/>
            <w:vMerge w:val="continue"/>
            <w:tcBorders>
              <w:top w:val="nil"/>
              <w:left w:val="single" w:color="auto" w:sz="4" w:space="0"/>
              <w:bottom w:val="inset" w:color="auto" w:sz="4" w:space="0"/>
              <w:right w:val="single" w:color="auto" w:sz="4" w:space="0"/>
            </w:tcBorders>
            <w:vAlign w:val="center"/>
          </w:tcPr>
          <w:p>
            <w:pPr>
              <w:widowControl/>
              <w:jc w:val="left"/>
              <w:rPr>
                <w:rFonts w:ascii="Calibri" w:hAnsi="Calibri" w:eastAsia="宋体" w:cs="Times New Roman"/>
                <w:kern w:val="0"/>
                <w:szCs w:val="21"/>
              </w:rPr>
            </w:pPr>
          </w:p>
        </w:tc>
        <w:tc>
          <w:tcPr>
            <w:tcW w:w="943" w:type="dxa"/>
            <w:vMerge w:val="continue"/>
            <w:tcBorders>
              <w:top w:val="nil"/>
              <w:left w:val="nil"/>
              <w:bottom w:val="inset" w:color="auto" w:sz="4" w:space="0"/>
              <w:right w:val="single" w:color="auto" w:sz="4" w:space="0"/>
            </w:tcBorders>
            <w:vAlign w:val="center"/>
          </w:tcPr>
          <w:p>
            <w:pPr>
              <w:widowControl/>
              <w:jc w:val="left"/>
              <w:rPr>
                <w:rFonts w:ascii="Calibri" w:hAnsi="Calibri" w:eastAsia="宋体" w:cs="Times New Roman"/>
                <w:kern w:val="0"/>
                <w:szCs w:val="21"/>
              </w:rPr>
            </w:pPr>
          </w:p>
        </w:tc>
        <w:tc>
          <w:tcPr>
            <w:tcW w:w="3219" w:type="dxa"/>
            <w:tcBorders>
              <w:top w:val="nil"/>
              <w:left w:val="nil"/>
              <w:bottom w:val="single" w:color="auto" w:sz="4" w:space="0"/>
              <w:right w:val="single" w:color="auto" w:sz="4" w:space="0"/>
            </w:tcBorders>
            <w:tcMar>
              <w:top w:w="0" w:type="dxa"/>
              <w:left w:w="57" w:type="dxa"/>
              <w:bottom w:w="0" w:type="dxa"/>
              <w:right w:w="57" w:type="dxa"/>
            </w:tcMar>
          </w:tcPr>
          <w:p>
            <w:pPr>
              <w:widowControl/>
              <w:jc w:val="left"/>
              <w:rPr>
                <w:rFonts w:ascii="Calibri" w:hAnsi="Calibri" w:eastAsia="宋体" w:cs="Times New Roman"/>
                <w:kern w:val="0"/>
                <w:szCs w:val="21"/>
              </w:rPr>
            </w:pPr>
            <w:r>
              <w:rPr>
                <w:rFonts w:hint="eastAsia" w:ascii="宋体" w:hAnsi="宋体" w:eastAsia="宋体" w:cs="Times New Roman"/>
                <w:color w:val="000000"/>
                <w:kern w:val="0"/>
                <w:sz w:val="20"/>
                <w:szCs w:val="20"/>
              </w:rPr>
              <w:t>3.补正后申请内容仍不明确</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r>
      <w:tr>
        <w:tblPrEx>
          <w:tblLayout w:type="fixed"/>
          <w:tblCellMar>
            <w:top w:w="0" w:type="dxa"/>
            <w:left w:w="0" w:type="dxa"/>
            <w:bottom w:w="0" w:type="dxa"/>
            <w:right w:w="0" w:type="dxa"/>
          </w:tblCellMar>
        </w:tblPrEx>
        <w:trPr>
          <w:trHeight w:val="253" w:hRule="atLeast"/>
          <w:jc w:val="center"/>
        </w:trPr>
        <w:tc>
          <w:tcPr>
            <w:tcW w:w="767" w:type="dxa"/>
            <w:vMerge w:val="continue"/>
            <w:tcBorders>
              <w:top w:val="nil"/>
              <w:left w:val="single" w:color="auto" w:sz="4" w:space="0"/>
              <w:bottom w:val="inset" w:color="auto" w:sz="4" w:space="0"/>
              <w:right w:val="single" w:color="auto" w:sz="4" w:space="0"/>
            </w:tcBorders>
            <w:vAlign w:val="center"/>
          </w:tcPr>
          <w:p>
            <w:pPr>
              <w:widowControl/>
              <w:jc w:val="left"/>
              <w:rPr>
                <w:rFonts w:ascii="Calibri" w:hAnsi="Calibri" w:eastAsia="宋体" w:cs="Times New Roman"/>
                <w:kern w:val="0"/>
                <w:szCs w:val="21"/>
              </w:rPr>
            </w:pPr>
          </w:p>
        </w:tc>
        <w:tc>
          <w:tcPr>
            <w:tcW w:w="943" w:type="dxa"/>
            <w:vMerge w:val="restart"/>
            <w:tcBorders>
              <w:top w:val="nil"/>
              <w:left w:val="nil"/>
              <w:bottom w:val="inset" w:color="auto" w:sz="4" w:space="0"/>
              <w:right w:val="single" w:color="auto" w:sz="4" w:space="0"/>
            </w:tcBorders>
            <w:tcMar>
              <w:top w:w="0" w:type="dxa"/>
              <w:left w:w="57" w:type="dxa"/>
              <w:bottom w:w="0" w:type="dxa"/>
              <w:right w:w="57" w:type="dxa"/>
            </w:tcMar>
            <w:vAlign w:val="center"/>
          </w:tcPr>
          <w:p>
            <w:pPr>
              <w:widowControl/>
              <w:jc w:val="left"/>
              <w:rPr>
                <w:rFonts w:ascii="Calibri" w:hAnsi="Calibri" w:eastAsia="宋体" w:cs="Times New Roman"/>
                <w:kern w:val="0"/>
                <w:szCs w:val="21"/>
              </w:rPr>
            </w:pPr>
            <w:r>
              <w:rPr>
                <w:rFonts w:hint="eastAsia" w:ascii="宋体" w:hAnsi="宋体" w:eastAsia="宋体" w:cs="Times New Roman"/>
                <w:color w:val="000000"/>
                <w:kern w:val="0"/>
                <w:sz w:val="20"/>
                <w:szCs w:val="20"/>
              </w:rPr>
              <w:t>（五）不予处理</w:t>
            </w:r>
          </w:p>
        </w:tc>
        <w:tc>
          <w:tcPr>
            <w:tcW w:w="3219" w:type="dxa"/>
            <w:tcBorders>
              <w:top w:val="nil"/>
              <w:left w:val="nil"/>
              <w:bottom w:val="single" w:color="auto" w:sz="4" w:space="0"/>
              <w:right w:val="single" w:color="auto" w:sz="4" w:space="0"/>
            </w:tcBorders>
            <w:tcMar>
              <w:top w:w="0" w:type="dxa"/>
              <w:left w:w="57" w:type="dxa"/>
              <w:bottom w:w="0" w:type="dxa"/>
              <w:right w:w="57" w:type="dxa"/>
            </w:tcMar>
          </w:tcPr>
          <w:p>
            <w:pPr>
              <w:widowControl/>
              <w:jc w:val="left"/>
              <w:rPr>
                <w:rFonts w:ascii="Calibri" w:hAnsi="Calibri" w:eastAsia="宋体" w:cs="Times New Roman"/>
                <w:kern w:val="0"/>
                <w:szCs w:val="21"/>
              </w:rPr>
            </w:pPr>
            <w:r>
              <w:rPr>
                <w:rFonts w:hint="eastAsia" w:ascii="宋体" w:hAnsi="宋体" w:eastAsia="宋体" w:cs="Times New Roman"/>
                <w:color w:val="000000"/>
                <w:kern w:val="0"/>
                <w:sz w:val="20"/>
                <w:szCs w:val="20"/>
              </w:rPr>
              <w:t>1.信访举报投诉类申请</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r>
      <w:tr>
        <w:tblPrEx>
          <w:tblLayout w:type="fixed"/>
          <w:tblCellMar>
            <w:top w:w="0" w:type="dxa"/>
            <w:left w:w="0" w:type="dxa"/>
            <w:bottom w:w="0" w:type="dxa"/>
            <w:right w:w="0" w:type="dxa"/>
          </w:tblCellMar>
        </w:tblPrEx>
        <w:trPr>
          <w:trHeight w:val="253" w:hRule="atLeast"/>
          <w:jc w:val="center"/>
        </w:trPr>
        <w:tc>
          <w:tcPr>
            <w:tcW w:w="767" w:type="dxa"/>
            <w:vMerge w:val="continue"/>
            <w:tcBorders>
              <w:top w:val="nil"/>
              <w:left w:val="single" w:color="auto" w:sz="4" w:space="0"/>
              <w:bottom w:val="inset" w:color="auto" w:sz="4" w:space="0"/>
              <w:right w:val="single" w:color="auto" w:sz="4" w:space="0"/>
            </w:tcBorders>
            <w:vAlign w:val="center"/>
          </w:tcPr>
          <w:p>
            <w:pPr>
              <w:widowControl/>
              <w:jc w:val="left"/>
              <w:rPr>
                <w:rFonts w:ascii="Calibri" w:hAnsi="Calibri" w:eastAsia="宋体" w:cs="Times New Roman"/>
                <w:kern w:val="0"/>
                <w:szCs w:val="21"/>
              </w:rPr>
            </w:pPr>
          </w:p>
        </w:tc>
        <w:tc>
          <w:tcPr>
            <w:tcW w:w="943" w:type="dxa"/>
            <w:vMerge w:val="continue"/>
            <w:tcBorders>
              <w:top w:val="nil"/>
              <w:left w:val="nil"/>
              <w:bottom w:val="inset" w:color="auto" w:sz="4" w:space="0"/>
              <w:right w:val="single" w:color="auto" w:sz="4" w:space="0"/>
            </w:tcBorders>
            <w:vAlign w:val="center"/>
          </w:tcPr>
          <w:p>
            <w:pPr>
              <w:widowControl/>
              <w:jc w:val="left"/>
              <w:rPr>
                <w:rFonts w:ascii="Calibri" w:hAnsi="Calibri" w:eastAsia="宋体" w:cs="Times New Roman"/>
                <w:kern w:val="0"/>
                <w:szCs w:val="21"/>
              </w:rPr>
            </w:pPr>
          </w:p>
        </w:tc>
        <w:tc>
          <w:tcPr>
            <w:tcW w:w="3219" w:type="dxa"/>
            <w:tcBorders>
              <w:top w:val="nil"/>
              <w:left w:val="nil"/>
              <w:bottom w:val="single" w:color="auto" w:sz="4" w:space="0"/>
              <w:right w:val="single" w:color="auto" w:sz="4" w:space="0"/>
            </w:tcBorders>
            <w:tcMar>
              <w:top w:w="0" w:type="dxa"/>
              <w:left w:w="57" w:type="dxa"/>
              <w:bottom w:w="0" w:type="dxa"/>
              <w:right w:w="57" w:type="dxa"/>
            </w:tcMar>
          </w:tcPr>
          <w:p>
            <w:pPr>
              <w:widowControl/>
              <w:jc w:val="left"/>
              <w:rPr>
                <w:rFonts w:ascii="Calibri" w:hAnsi="Calibri" w:eastAsia="宋体" w:cs="Times New Roman"/>
                <w:kern w:val="0"/>
                <w:szCs w:val="21"/>
              </w:rPr>
            </w:pPr>
            <w:r>
              <w:rPr>
                <w:rFonts w:hint="eastAsia" w:ascii="宋体" w:hAnsi="宋体" w:eastAsia="宋体" w:cs="Times New Roman"/>
                <w:color w:val="000000"/>
                <w:kern w:val="0"/>
                <w:sz w:val="20"/>
                <w:szCs w:val="20"/>
              </w:rPr>
              <w:t>2.重复申请</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r>
      <w:tr>
        <w:tblPrEx>
          <w:tblLayout w:type="fixed"/>
          <w:tblCellMar>
            <w:top w:w="0" w:type="dxa"/>
            <w:left w:w="0" w:type="dxa"/>
            <w:bottom w:w="0" w:type="dxa"/>
            <w:right w:w="0" w:type="dxa"/>
          </w:tblCellMar>
        </w:tblPrEx>
        <w:trPr>
          <w:trHeight w:val="253" w:hRule="atLeast"/>
          <w:jc w:val="center"/>
        </w:trPr>
        <w:tc>
          <w:tcPr>
            <w:tcW w:w="767" w:type="dxa"/>
            <w:vMerge w:val="continue"/>
            <w:tcBorders>
              <w:top w:val="nil"/>
              <w:left w:val="single" w:color="auto" w:sz="4" w:space="0"/>
              <w:bottom w:val="inset" w:color="auto" w:sz="4" w:space="0"/>
              <w:right w:val="single" w:color="auto" w:sz="4" w:space="0"/>
            </w:tcBorders>
            <w:vAlign w:val="center"/>
          </w:tcPr>
          <w:p>
            <w:pPr>
              <w:widowControl/>
              <w:jc w:val="left"/>
              <w:rPr>
                <w:rFonts w:ascii="Calibri" w:hAnsi="Calibri" w:eastAsia="宋体" w:cs="Times New Roman"/>
                <w:kern w:val="0"/>
                <w:szCs w:val="21"/>
              </w:rPr>
            </w:pPr>
          </w:p>
        </w:tc>
        <w:tc>
          <w:tcPr>
            <w:tcW w:w="943" w:type="dxa"/>
            <w:vMerge w:val="continue"/>
            <w:tcBorders>
              <w:top w:val="nil"/>
              <w:left w:val="nil"/>
              <w:bottom w:val="inset" w:color="auto" w:sz="4" w:space="0"/>
              <w:right w:val="single" w:color="auto" w:sz="4" w:space="0"/>
            </w:tcBorders>
            <w:vAlign w:val="center"/>
          </w:tcPr>
          <w:p>
            <w:pPr>
              <w:widowControl/>
              <w:jc w:val="left"/>
              <w:rPr>
                <w:rFonts w:ascii="Calibri" w:hAnsi="Calibri" w:eastAsia="宋体" w:cs="Times New Roman"/>
                <w:kern w:val="0"/>
                <w:szCs w:val="21"/>
              </w:rPr>
            </w:pPr>
          </w:p>
        </w:tc>
        <w:tc>
          <w:tcPr>
            <w:tcW w:w="3219" w:type="dxa"/>
            <w:tcBorders>
              <w:top w:val="nil"/>
              <w:left w:val="nil"/>
              <w:bottom w:val="single" w:color="auto" w:sz="4" w:space="0"/>
              <w:right w:val="single" w:color="auto" w:sz="4" w:space="0"/>
            </w:tcBorders>
            <w:tcMar>
              <w:top w:w="0" w:type="dxa"/>
              <w:left w:w="57" w:type="dxa"/>
              <w:bottom w:w="0" w:type="dxa"/>
              <w:right w:w="57" w:type="dxa"/>
            </w:tcMar>
          </w:tcPr>
          <w:p>
            <w:pPr>
              <w:widowControl/>
              <w:jc w:val="left"/>
              <w:rPr>
                <w:rFonts w:ascii="Calibri" w:hAnsi="Calibri" w:eastAsia="宋体" w:cs="Times New Roman"/>
                <w:kern w:val="0"/>
                <w:szCs w:val="21"/>
              </w:rPr>
            </w:pPr>
            <w:r>
              <w:rPr>
                <w:rFonts w:hint="eastAsia" w:ascii="宋体" w:hAnsi="宋体" w:eastAsia="宋体" w:cs="Times New Roman"/>
                <w:color w:val="000000"/>
                <w:kern w:val="0"/>
                <w:sz w:val="20"/>
                <w:szCs w:val="20"/>
              </w:rPr>
              <w:t>3.要求提供公开出版物</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r>
      <w:tr>
        <w:tblPrEx>
          <w:tblLayout w:type="fixed"/>
          <w:tblCellMar>
            <w:top w:w="0" w:type="dxa"/>
            <w:left w:w="0" w:type="dxa"/>
            <w:bottom w:w="0" w:type="dxa"/>
            <w:right w:w="0" w:type="dxa"/>
          </w:tblCellMar>
        </w:tblPrEx>
        <w:trPr>
          <w:trHeight w:val="253" w:hRule="atLeast"/>
          <w:jc w:val="center"/>
        </w:trPr>
        <w:tc>
          <w:tcPr>
            <w:tcW w:w="767" w:type="dxa"/>
            <w:vMerge w:val="continue"/>
            <w:tcBorders>
              <w:top w:val="nil"/>
              <w:left w:val="single" w:color="auto" w:sz="4" w:space="0"/>
              <w:bottom w:val="inset" w:color="auto" w:sz="4" w:space="0"/>
              <w:right w:val="single" w:color="auto" w:sz="4" w:space="0"/>
            </w:tcBorders>
            <w:vAlign w:val="center"/>
          </w:tcPr>
          <w:p>
            <w:pPr>
              <w:widowControl/>
              <w:jc w:val="left"/>
              <w:rPr>
                <w:rFonts w:ascii="Calibri" w:hAnsi="Calibri" w:eastAsia="宋体" w:cs="Times New Roman"/>
                <w:kern w:val="0"/>
                <w:szCs w:val="21"/>
              </w:rPr>
            </w:pPr>
          </w:p>
        </w:tc>
        <w:tc>
          <w:tcPr>
            <w:tcW w:w="943" w:type="dxa"/>
            <w:vMerge w:val="continue"/>
            <w:tcBorders>
              <w:top w:val="nil"/>
              <w:left w:val="nil"/>
              <w:bottom w:val="inset" w:color="auto" w:sz="4" w:space="0"/>
              <w:right w:val="single" w:color="auto" w:sz="4" w:space="0"/>
            </w:tcBorders>
            <w:vAlign w:val="center"/>
          </w:tcPr>
          <w:p>
            <w:pPr>
              <w:widowControl/>
              <w:jc w:val="left"/>
              <w:rPr>
                <w:rFonts w:ascii="Calibri" w:hAnsi="Calibri" w:eastAsia="宋体" w:cs="Times New Roman"/>
                <w:kern w:val="0"/>
                <w:szCs w:val="21"/>
              </w:rPr>
            </w:pPr>
          </w:p>
        </w:tc>
        <w:tc>
          <w:tcPr>
            <w:tcW w:w="3219" w:type="dxa"/>
            <w:tcBorders>
              <w:top w:val="nil"/>
              <w:left w:val="nil"/>
              <w:bottom w:val="single" w:color="auto" w:sz="4" w:space="0"/>
              <w:right w:val="single" w:color="auto" w:sz="4" w:space="0"/>
            </w:tcBorders>
            <w:tcMar>
              <w:top w:w="0" w:type="dxa"/>
              <w:left w:w="57" w:type="dxa"/>
              <w:bottom w:w="0" w:type="dxa"/>
              <w:right w:w="57" w:type="dxa"/>
            </w:tcMar>
          </w:tcPr>
          <w:p>
            <w:pPr>
              <w:widowControl/>
              <w:jc w:val="left"/>
              <w:rPr>
                <w:rFonts w:ascii="Calibri" w:hAnsi="Calibri" w:eastAsia="宋体" w:cs="Times New Roman"/>
                <w:kern w:val="0"/>
                <w:szCs w:val="21"/>
              </w:rPr>
            </w:pPr>
            <w:r>
              <w:rPr>
                <w:rFonts w:hint="eastAsia" w:ascii="宋体" w:hAnsi="宋体" w:eastAsia="宋体" w:cs="Times New Roman"/>
                <w:color w:val="000000"/>
                <w:kern w:val="0"/>
                <w:sz w:val="20"/>
                <w:szCs w:val="20"/>
              </w:rPr>
              <w:t>4.无正当理由大量反复申请</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r>
      <w:tr>
        <w:tblPrEx>
          <w:tblLayout w:type="fixed"/>
          <w:tblCellMar>
            <w:top w:w="0" w:type="dxa"/>
            <w:left w:w="0" w:type="dxa"/>
            <w:bottom w:w="0" w:type="dxa"/>
            <w:right w:w="0" w:type="dxa"/>
          </w:tblCellMar>
        </w:tblPrEx>
        <w:trPr>
          <w:trHeight w:val="253" w:hRule="atLeast"/>
          <w:jc w:val="center"/>
        </w:trPr>
        <w:tc>
          <w:tcPr>
            <w:tcW w:w="767" w:type="dxa"/>
            <w:vMerge w:val="continue"/>
            <w:tcBorders>
              <w:top w:val="nil"/>
              <w:left w:val="single" w:color="auto" w:sz="4" w:space="0"/>
              <w:bottom w:val="inset" w:color="auto" w:sz="4" w:space="0"/>
              <w:right w:val="single" w:color="auto" w:sz="4" w:space="0"/>
            </w:tcBorders>
            <w:vAlign w:val="center"/>
          </w:tcPr>
          <w:p>
            <w:pPr>
              <w:widowControl/>
              <w:jc w:val="left"/>
              <w:rPr>
                <w:rFonts w:ascii="Calibri" w:hAnsi="Calibri" w:eastAsia="宋体" w:cs="Times New Roman"/>
                <w:kern w:val="0"/>
                <w:szCs w:val="21"/>
              </w:rPr>
            </w:pPr>
          </w:p>
        </w:tc>
        <w:tc>
          <w:tcPr>
            <w:tcW w:w="943" w:type="dxa"/>
            <w:vMerge w:val="continue"/>
            <w:tcBorders>
              <w:top w:val="nil"/>
              <w:left w:val="nil"/>
              <w:bottom w:val="inset" w:color="auto" w:sz="4" w:space="0"/>
              <w:right w:val="single" w:color="auto" w:sz="4" w:space="0"/>
            </w:tcBorders>
            <w:vAlign w:val="center"/>
          </w:tcPr>
          <w:p>
            <w:pPr>
              <w:widowControl/>
              <w:jc w:val="left"/>
              <w:rPr>
                <w:rFonts w:ascii="Calibri" w:hAnsi="Calibri" w:eastAsia="宋体" w:cs="Times New Roman"/>
                <w:kern w:val="0"/>
                <w:szCs w:val="21"/>
              </w:rPr>
            </w:pPr>
          </w:p>
        </w:tc>
        <w:tc>
          <w:tcPr>
            <w:tcW w:w="3219" w:type="dxa"/>
            <w:tcBorders>
              <w:top w:val="nil"/>
              <w:left w:val="nil"/>
              <w:bottom w:val="inset" w:color="auto" w:sz="4" w:space="0"/>
              <w:right w:val="single" w:color="auto" w:sz="4" w:space="0"/>
            </w:tcBorders>
            <w:tcMar>
              <w:top w:w="0" w:type="dxa"/>
              <w:left w:w="57" w:type="dxa"/>
              <w:bottom w:w="0" w:type="dxa"/>
              <w:right w:w="57" w:type="dxa"/>
            </w:tcMar>
            <w:vAlign w:val="center"/>
          </w:tcPr>
          <w:p>
            <w:pPr>
              <w:widowControl/>
              <w:rPr>
                <w:rFonts w:ascii="Calibri" w:hAnsi="Calibri" w:eastAsia="宋体" w:cs="Times New Roman"/>
                <w:kern w:val="0"/>
                <w:szCs w:val="21"/>
              </w:rPr>
            </w:pPr>
            <w:r>
              <w:rPr>
                <w:rFonts w:hint="eastAsia" w:ascii="宋体" w:hAnsi="宋体" w:eastAsia="宋体" w:cs="Times New Roman"/>
                <w:color w:val="000000"/>
                <w:kern w:val="0"/>
                <w:sz w:val="20"/>
                <w:szCs w:val="20"/>
              </w:rPr>
              <w:t>5.要求行政机关确认或重新出具已获取信息</w:t>
            </w:r>
          </w:p>
        </w:tc>
        <w:tc>
          <w:tcPr>
            <w:tcW w:w="688" w:type="dxa"/>
            <w:tcBorders>
              <w:top w:val="nil"/>
              <w:left w:val="nil"/>
              <w:bottom w:val="inset"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ascii="Calibri" w:hAnsi="Calibri" w:eastAsia="宋体" w:cs="Times New Roman"/>
                <w:kern w:val="0"/>
                <w:szCs w:val="21"/>
              </w:rPr>
              <w:t> </w:t>
            </w:r>
          </w:p>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inset"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ascii="Calibri" w:hAnsi="Calibri" w:eastAsia="宋体" w:cs="Times New Roman"/>
                <w:kern w:val="0"/>
                <w:szCs w:val="21"/>
              </w:rPr>
              <w:t> </w:t>
            </w:r>
          </w:p>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inset"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ascii="Calibri" w:hAnsi="Calibri" w:eastAsia="宋体" w:cs="Times New Roman"/>
                <w:kern w:val="0"/>
                <w:szCs w:val="21"/>
              </w:rPr>
              <w:t> </w:t>
            </w:r>
          </w:p>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inset"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ascii="Calibri" w:hAnsi="Calibri" w:eastAsia="宋体" w:cs="Times New Roman"/>
                <w:kern w:val="0"/>
                <w:szCs w:val="21"/>
              </w:rPr>
              <w:t> </w:t>
            </w:r>
          </w:p>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inset"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ascii="Calibri" w:hAnsi="Calibri" w:eastAsia="宋体" w:cs="Times New Roman"/>
                <w:kern w:val="0"/>
                <w:szCs w:val="21"/>
              </w:rPr>
              <w:t> </w:t>
            </w:r>
          </w:p>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inset"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ascii="Calibri" w:hAnsi="Calibri" w:eastAsia="宋体" w:cs="Times New Roman"/>
                <w:kern w:val="0"/>
                <w:szCs w:val="21"/>
              </w:rPr>
              <w:t> </w:t>
            </w:r>
          </w:p>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inset"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ascii="Calibri" w:hAnsi="Calibri" w:eastAsia="宋体" w:cs="Times New Roman"/>
                <w:kern w:val="0"/>
                <w:szCs w:val="21"/>
              </w:rPr>
              <w:t> </w:t>
            </w:r>
          </w:p>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r>
      <w:tr>
        <w:tblPrEx>
          <w:tblLayout w:type="fixed"/>
          <w:tblCellMar>
            <w:top w:w="0" w:type="dxa"/>
            <w:left w:w="0" w:type="dxa"/>
            <w:bottom w:w="0" w:type="dxa"/>
            <w:right w:w="0" w:type="dxa"/>
          </w:tblCellMar>
        </w:tblPrEx>
        <w:trPr>
          <w:trHeight w:val="253" w:hRule="atLeast"/>
          <w:jc w:val="center"/>
        </w:trPr>
        <w:tc>
          <w:tcPr>
            <w:tcW w:w="767" w:type="dxa"/>
            <w:vMerge w:val="continue"/>
            <w:tcBorders>
              <w:top w:val="nil"/>
              <w:left w:val="single" w:color="auto" w:sz="4" w:space="0"/>
              <w:bottom w:val="inset" w:color="auto" w:sz="4" w:space="0"/>
              <w:right w:val="single" w:color="auto" w:sz="4" w:space="0"/>
            </w:tcBorders>
            <w:vAlign w:val="center"/>
          </w:tcPr>
          <w:p>
            <w:pPr>
              <w:widowControl/>
              <w:jc w:val="left"/>
              <w:rPr>
                <w:rFonts w:ascii="Calibri" w:hAnsi="Calibri" w:eastAsia="宋体" w:cs="Times New Roman"/>
                <w:kern w:val="0"/>
                <w:szCs w:val="21"/>
              </w:rPr>
            </w:pPr>
          </w:p>
        </w:tc>
        <w:tc>
          <w:tcPr>
            <w:tcW w:w="943" w:type="dxa"/>
            <w:vMerge w:val="restart"/>
            <w:tcBorders>
              <w:top w:val="nil"/>
              <w:left w:val="nil"/>
              <w:bottom w:val="inset" w:color="auto" w:sz="4" w:space="0"/>
              <w:right w:val="single" w:color="auto" w:sz="4" w:space="0"/>
            </w:tcBorders>
            <w:tcMar>
              <w:top w:w="0" w:type="dxa"/>
              <w:left w:w="57" w:type="dxa"/>
              <w:bottom w:w="0" w:type="dxa"/>
              <w:right w:w="57" w:type="dxa"/>
            </w:tcMar>
            <w:vAlign w:val="center"/>
          </w:tcPr>
          <w:p>
            <w:pPr>
              <w:widowControl/>
              <w:jc w:val="left"/>
              <w:rPr>
                <w:rFonts w:ascii="Calibri" w:hAnsi="Calibri" w:eastAsia="宋体" w:cs="Times New Roman"/>
                <w:kern w:val="0"/>
                <w:szCs w:val="21"/>
              </w:rPr>
            </w:pPr>
            <w:r>
              <w:rPr>
                <w:rFonts w:hint="eastAsia" w:ascii="宋体" w:hAnsi="宋体" w:eastAsia="宋体" w:cs="Times New Roman"/>
                <w:color w:val="000000"/>
                <w:kern w:val="0"/>
                <w:sz w:val="20"/>
                <w:szCs w:val="20"/>
              </w:rPr>
              <w:t>（六）其他处理</w:t>
            </w:r>
          </w:p>
        </w:tc>
        <w:tc>
          <w:tcPr>
            <w:tcW w:w="3219"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rPr>
                <w:rFonts w:ascii="Calibri" w:hAnsi="Calibri" w:eastAsia="宋体" w:cs="Times New Roman"/>
                <w:kern w:val="0"/>
                <w:szCs w:val="21"/>
              </w:rPr>
            </w:pPr>
            <w:r>
              <w:rPr>
                <w:rFonts w:hint="eastAsia" w:ascii="宋体" w:hAnsi="宋体" w:eastAsia="宋体" w:cs="Times New Roman"/>
                <w:color w:val="000000"/>
                <w:kern w:val="0"/>
                <w:sz w:val="20"/>
                <w:szCs w:val="20"/>
              </w:rPr>
              <w:t>1.申请人无正当理由逾期不补正、行政机关不再处理其政府信息公开申请</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ascii="Calibri" w:hAnsi="Calibri" w:eastAsia="宋体" w:cs="Times New Roman"/>
                <w:kern w:val="0"/>
                <w:szCs w:val="21"/>
              </w:rPr>
              <w:t> </w:t>
            </w:r>
          </w:p>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r>
      <w:tr>
        <w:tblPrEx>
          <w:tblLayout w:type="fixed"/>
          <w:tblCellMar>
            <w:top w:w="0" w:type="dxa"/>
            <w:left w:w="0" w:type="dxa"/>
            <w:bottom w:w="0" w:type="dxa"/>
            <w:right w:w="0" w:type="dxa"/>
          </w:tblCellMar>
        </w:tblPrEx>
        <w:trPr>
          <w:trHeight w:val="253" w:hRule="atLeast"/>
          <w:jc w:val="center"/>
        </w:trPr>
        <w:tc>
          <w:tcPr>
            <w:tcW w:w="767" w:type="dxa"/>
            <w:vMerge w:val="continue"/>
            <w:tcBorders>
              <w:top w:val="nil"/>
              <w:left w:val="single" w:color="auto" w:sz="4" w:space="0"/>
              <w:bottom w:val="inset" w:color="auto" w:sz="4" w:space="0"/>
              <w:right w:val="single" w:color="auto" w:sz="4" w:space="0"/>
            </w:tcBorders>
            <w:vAlign w:val="center"/>
          </w:tcPr>
          <w:p>
            <w:pPr>
              <w:widowControl/>
              <w:jc w:val="left"/>
              <w:rPr>
                <w:rFonts w:ascii="Calibri" w:hAnsi="Calibri" w:eastAsia="宋体" w:cs="Times New Roman"/>
                <w:kern w:val="0"/>
                <w:szCs w:val="21"/>
              </w:rPr>
            </w:pPr>
          </w:p>
        </w:tc>
        <w:tc>
          <w:tcPr>
            <w:tcW w:w="943" w:type="dxa"/>
            <w:vMerge w:val="continue"/>
            <w:tcBorders>
              <w:top w:val="nil"/>
              <w:left w:val="nil"/>
              <w:bottom w:val="inset" w:color="auto" w:sz="4" w:space="0"/>
              <w:right w:val="single" w:color="auto" w:sz="4" w:space="0"/>
            </w:tcBorders>
            <w:vAlign w:val="center"/>
          </w:tcPr>
          <w:p>
            <w:pPr>
              <w:widowControl/>
              <w:jc w:val="left"/>
              <w:rPr>
                <w:rFonts w:ascii="Calibri" w:hAnsi="Calibri" w:eastAsia="宋体" w:cs="Times New Roman"/>
                <w:kern w:val="0"/>
                <w:szCs w:val="21"/>
              </w:rPr>
            </w:pPr>
          </w:p>
        </w:tc>
        <w:tc>
          <w:tcPr>
            <w:tcW w:w="3219"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rPr>
                <w:rFonts w:ascii="Calibri" w:hAnsi="Calibri" w:eastAsia="宋体" w:cs="Times New Roman"/>
                <w:kern w:val="0"/>
                <w:szCs w:val="21"/>
              </w:rPr>
            </w:pPr>
            <w:r>
              <w:rPr>
                <w:rFonts w:hint="eastAsia" w:ascii="宋体" w:hAnsi="宋体" w:eastAsia="宋体" w:cs="Times New Roman"/>
                <w:color w:val="000000"/>
                <w:kern w:val="0"/>
                <w:sz w:val="20"/>
                <w:szCs w:val="20"/>
              </w:rPr>
              <w:t>2.申请人逾期未按收费通知要求缴纳费用、行政机关不再处理其政府信息公开申请</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ascii="Calibri" w:hAnsi="Calibri" w:eastAsia="宋体" w:cs="Times New Roman"/>
                <w:kern w:val="0"/>
                <w:szCs w:val="21"/>
              </w:rPr>
              <w:t> </w:t>
            </w:r>
          </w:p>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p>
        </w:tc>
      </w:tr>
      <w:tr>
        <w:tblPrEx>
          <w:tblLayout w:type="fixed"/>
          <w:tblCellMar>
            <w:top w:w="0" w:type="dxa"/>
            <w:left w:w="0" w:type="dxa"/>
            <w:bottom w:w="0" w:type="dxa"/>
            <w:right w:w="0" w:type="dxa"/>
          </w:tblCellMar>
        </w:tblPrEx>
        <w:trPr>
          <w:trHeight w:val="253" w:hRule="atLeast"/>
          <w:jc w:val="center"/>
        </w:trPr>
        <w:tc>
          <w:tcPr>
            <w:tcW w:w="767" w:type="dxa"/>
            <w:vMerge w:val="continue"/>
            <w:tcBorders>
              <w:top w:val="nil"/>
              <w:left w:val="single" w:color="auto" w:sz="4" w:space="0"/>
              <w:bottom w:val="inset" w:color="auto" w:sz="4" w:space="0"/>
              <w:right w:val="single" w:color="auto" w:sz="4" w:space="0"/>
            </w:tcBorders>
            <w:vAlign w:val="center"/>
          </w:tcPr>
          <w:p>
            <w:pPr>
              <w:widowControl/>
              <w:jc w:val="left"/>
              <w:rPr>
                <w:rFonts w:ascii="Calibri" w:hAnsi="Calibri" w:eastAsia="宋体" w:cs="Times New Roman"/>
                <w:kern w:val="0"/>
                <w:szCs w:val="21"/>
              </w:rPr>
            </w:pPr>
          </w:p>
        </w:tc>
        <w:tc>
          <w:tcPr>
            <w:tcW w:w="943" w:type="dxa"/>
            <w:vMerge w:val="continue"/>
            <w:tcBorders>
              <w:top w:val="nil"/>
              <w:left w:val="nil"/>
              <w:bottom w:val="inset" w:color="auto" w:sz="4" w:space="0"/>
              <w:right w:val="single" w:color="auto" w:sz="4" w:space="0"/>
            </w:tcBorders>
            <w:vAlign w:val="center"/>
          </w:tcPr>
          <w:p>
            <w:pPr>
              <w:widowControl/>
              <w:jc w:val="left"/>
              <w:rPr>
                <w:rFonts w:ascii="Calibri" w:hAnsi="Calibri" w:eastAsia="宋体" w:cs="Times New Roman"/>
                <w:kern w:val="0"/>
                <w:szCs w:val="21"/>
              </w:rPr>
            </w:pPr>
          </w:p>
        </w:tc>
        <w:tc>
          <w:tcPr>
            <w:tcW w:w="3219"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left"/>
              <w:rPr>
                <w:rFonts w:ascii="Calibri" w:hAnsi="Calibri" w:eastAsia="宋体" w:cs="Times New Roman"/>
                <w:kern w:val="0"/>
                <w:szCs w:val="21"/>
              </w:rPr>
            </w:pPr>
            <w:r>
              <w:rPr>
                <w:rFonts w:hint="eastAsia" w:ascii="宋体" w:hAnsi="宋体" w:eastAsia="宋体" w:cs="Times New Roman"/>
                <w:color w:val="000000"/>
                <w:kern w:val="0"/>
                <w:sz w:val="20"/>
                <w:szCs w:val="20"/>
              </w:rPr>
              <w:t>3.其他</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r>
      <w:tr>
        <w:tblPrEx>
          <w:tblLayout w:type="fixed"/>
          <w:tblCellMar>
            <w:top w:w="0" w:type="dxa"/>
            <w:left w:w="0" w:type="dxa"/>
            <w:bottom w:w="0" w:type="dxa"/>
            <w:right w:w="0" w:type="dxa"/>
          </w:tblCellMar>
        </w:tblPrEx>
        <w:trPr>
          <w:trHeight w:val="253" w:hRule="atLeast"/>
          <w:jc w:val="center"/>
        </w:trPr>
        <w:tc>
          <w:tcPr>
            <w:tcW w:w="767" w:type="dxa"/>
            <w:vMerge w:val="continue"/>
            <w:tcBorders>
              <w:top w:val="nil"/>
              <w:left w:val="single" w:color="auto" w:sz="4" w:space="0"/>
              <w:bottom w:val="inset" w:color="auto" w:sz="4" w:space="0"/>
              <w:right w:val="single" w:color="auto" w:sz="4" w:space="0"/>
            </w:tcBorders>
            <w:vAlign w:val="center"/>
          </w:tcPr>
          <w:p>
            <w:pPr>
              <w:widowControl/>
              <w:jc w:val="left"/>
              <w:rPr>
                <w:rFonts w:ascii="Calibri" w:hAnsi="Calibri" w:eastAsia="宋体" w:cs="Times New Roman"/>
                <w:kern w:val="0"/>
                <w:szCs w:val="21"/>
              </w:rPr>
            </w:pPr>
          </w:p>
        </w:tc>
        <w:tc>
          <w:tcPr>
            <w:tcW w:w="4162" w:type="dxa"/>
            <w:gridSpan w:val="2"/>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left"/>
              <w:rPr>
                <w:rFonts w:ascii="Calibri" w:hAnsi="Calibri" w:eastAsia="宋体" w:cs="Times New Roman"/>
                <w:kern w:val="0"/>
                <w:szCs w:val="21"/>
              </w:rPr>
            </w:pPr>
            <w:r>
              <w:rPr>
                <w:rFonts w:hint="eastAsia" w:ascii="宋体" w:hAnsi="宋体" w:eastAsia="宋体" w:cs="Times New Roman"/>
                <w:color w:val="000000"/>
                <w:kern w:val="0"/>
                <w:sz w:val="20"/>
                <w:szCs w:val="20"/>
              </w:rPr>
              <w:t>（七）总计</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1</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1</w:t>
            </w:r>
          </w:p>
        </w:tc>
      </w:tr>
      <w:tr>
        <w:tblPrEx>
          <w:tblLayout w:type="fixed"/>
          <w:tblCellMar>
            <w:top w:w="0" w:type="dxa"/>
            <w:left w:w="0" w:type="dxa"/>
            <w:bottom w:w="0" w:type="dxa"/>
            <w:right w:w="0" w:type="dxa"/>
          </w:tblCellMar>
        </w:tblPrEx>
        <w:trPr>
          <w:trHeight w:val="253" w:hRule="atLeast"/>
          <w:jc w:val="center"/>
        </w:trPr>
        <w:tc>
          <w:tcPr>
            <w:tcW w:w="4929" w:type="dxa"/>
            <w:gridSpan w:val="3"/>
            <w:tcBorders>
              <w:top w:val="nil"/>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jc w:val="left"/>
              <w:rPr>
                <w:rFonts w:ascii="Calibri" w:hAnsi="Calibri" w:eastAsia="宋体" w:cs="Times New Roman"/>
                <w:kern w:val="0"/>
                <w:szCs w:val="21"/>
              </w:rPr>
            </w:pPr>
            <w:r>
              <w:rPr>
                <w:rFonts w:hint="eastAsia" w:ascii="宋体" w:hAnsi="宋体" w:eastAsia="宋体" w:cs="Times New Roman"/>
                <w:color w:val="000000"/>
                <w:kern w:val="0"/>
                <w:sz w:val="20"/>
                <w:szCs w:val="20"/>
              </w:rPr>
              <w:t>四、结转下年度继续办理</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p>
        </w:tc>
      </w:tr>
    </w:tbl>
    <w:p>
      <w:pPr>
        <w:widowControl/>
        <w:shd w:val="clear" w:color="auto" w:fill="FFFFFF"/>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ind w:firstLine="643"/>
        <w:rPr>
          <w:rFonts w:ascii="Calibri" w:hAnsi="Calibri" w:eastAsia="宋体" w:cs="宋体"/>
          <w:color w:val="000000"/>
          <w:kern w:val="0"/>
          <w:sz w:val="24"/>
          <w:szCs w:val="24"/>
        </w:rPr>
      </w:pPr>
      <w:r>
        <w:rPr>
          <w:rFonts w:hint="eastAsia" w:ascii="黑体" w:hAnsi="黑体" w:eastAsia="黑体" w:cs="宋体"/>
          <w:b/>
          <w:bCs/>
          <w:color w:val="000000"/>
          <w:kern w:val="0"/>
          <w:sz w:val="32"/>
          <w:szCs w:val="32"/>
          <w:shd w:val="clear" w:color="auto" w:fill="FFFFFF"/>
        </w:rPr>
        <w:t>四、政府信息公开行政复议、行政诉讼情况</w:t>
      </w:r>
    </w:p>
    <w:p>
      <w:pPr>
        <w:widowControl/>
        <w:shd w:val="clear" w:color="auto" w:fill="FFFFFF"/>
        <w:jc w:val="center"/>
        <w:rPr>
          <w:rFonts w:ascii="Calibri" w:hAnsi="Calibri" w:eastAsia="宋体" w:cs="宋体"/>
          <w:color w:val="000000"/>
          <w:kern w:val="0"/>
          <w:szCs w:val="21"/>
        </w:rPr>
      </w:pPr>
      <w:r>
        <w:rPr>
          <w:rFonts w:ascii="Calibri" w:hAnsi="Calibri" w:eastAsia="宋体" w:cs="宋体"/>
          <w:color w:val="000000"/>
          <w:kern w:val="0"/>
          <w:szCs w:val="21"/>
        </w:rPr>
        <w:t> </w:t>
      </w:r>
    </w:p>
    <w:tbl>
      <w:tblPr>
        <w:tblStyle w:val="3"/>
        <w:tblW w:w="9743" w:type="dxa"/>
        <w:jc w:val="center"/>
        <w:tblInd w:w="0" w:type="dxa"/>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Layout w:type="fixed"/>
          <w:tblCellMar>
            <w:top w:w="0" w:type="dxa"/>
            <w:left w:w="0" w:type="dxa"/>
            <w:bottom w:w="0" w:type="dxa"/>
            <w:right w:w="0" w:type="dxa"/>
          </w:tblCellMar>
        </w:tblPrEx>
        <w:trPr>
          <w:trHeight w:val="253" w:hRule="atLeast"/>
          <w:jc w:val="center"/>
        </w:trPr>
        <w:tc>
          <w:tcPr>
            <w:tcW w:w="3245"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行政复议</w:t>
            </w:r>
          </w:p>
        </w:tc>
        <w:tc>
          <w:tcPr>
            <w:tcW w:w="6498" w:type="dxa"/>
            <w:gridSpan w:val="10"/>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行政诉讼</w:t>
            </w:r>
          </w:p>
        </w:tc>
      </w:tr>
      <w:tr>
        <w:tblPrEx>
          <w:tblLayout w:type="fixed"/>
          <w:tblCellMar>
            <w:top w:w="0" w:type="dxa"/>
            <w:left w:w="0" w:type="dxa"/>
            <w:bottom w:w="0" w:type="dxa"/>
            <w:right w:w="0" w:type="dxa"/>
          </w:tblCellMar>
        </w:tblPrEx>
        <w:trPr>
          <w:trHeight w:val="253" w:hRule="atLeast"/>
          <w:jc w:val="center"/>
        </w:trPr>
        <w:tc>
          <w:tcPr>
            <w:tcW w:w="649" w:type="dxa"/>
            <w:vMerge w:val="restart"/>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结果维持</w:t>
            </w:r>
          </w:p>
        </w:tc>
        <w:tc>
          <w:tcPr>
            <w:tcW w:w="649" w:type="dxa"/>
            <w:vMerge w:val="restart"/>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结果</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纠正</w:t>
            </w:r>
          </w:p>
        </w:tc>
        <w:tc>
          <w:tcPr>
            <w:tcW w:w="649" w:type="dxa"/>
            <w:vMerge w:val="restart"/>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其他</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结果</w:t>
            </w:r>
          </w:p>
        </w:tc>
        <w:tc>
          <w:tcPr>
            <w:tcW w:w="649" w:type="dxa"/>
            <w:vMerge w:val="restart"/>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尚未</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审结</w:t>
            </w:r>
          </w:p>
        </w:tc>
        <w:tc>
          <w:tcPr>
            <w:tcW w:w="649" w:type="dxa"/>
            <w:vMerge w:val="restart"/>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总计</w:t>
            </w:r>
          </w:p>
        </w:tc>
        <w:tc>
          <w:tcPr>
            <w:tcW w:w="3248" w:type="dxa"/>
            <w:gridSpan w:val="5"/>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未经复议直接起诉</w:t>
            </w:r>
          </w:p>
        </w:tc>
        <w:tc>
          <w:tcPr>
            <w:tcW w:w="3250" w:type="dxa"/>
            <w:gridSpan w:val="5"/>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复议后起诉</w:t>
            </w:r>
          </w:p>
        </w:tc>
      </w:tr>
      <w:tr>
        <w:tblPrEx>
          <w:tblLayout w:type="fixed"/>
          <w:tblCellMar>
            <w:top w:w="0" w:type="dxa"/>
            <w:left w:w="0" w:type="dxa"/>
            <w:bottom w:w="0" w:type="dxa"/>
            <w:right w:w="0" w:type="dxa"/>
          </w:tblCellMar>
        </w:tblPrEx>
        <w:trPr>
          <w:trHeight w:val="253"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Times New Roman"/>
                <w:kern w:val="0"/>
                <w:szCs w:val="21"/>
              </w:rPr>
            </w:pPr>
          </w:p>
        </w:tc>
        <w:tc>
          <w:tcPr>
            <w:tcW w:w="649" w:type="dxa"/>
            <w:vMerge w:val="continue"/>
            <w:tcBorders>
              <w:top w:val="nil"/>
              <w:left w:val="nil"/>
              <w:bottom w:val="single" w:color="auto" w:sz="4" w:space="0"/>
              <w:right w:val="single" w:color="auto" w:sz="4" w:space="0"/>
            </w:tcBorders>
            <w:vAlign w:val="center"/>
          </w:tcPr>
          <w:p>
            <w:pPr>
              <w:widowControl/>
              <w:jc w:val="left"/>
              <w:rPr>
                <w:rFonts w:ascii="Calibri" w:hAnsi="Calibri" w:eastAsia="宋体" w:cs="Times New Roman"/>
                <w:kern w:val="0"/>
                <w:szCs w:val="21"/>
              </w:rPr>
            </w:pPr>
          </w:p>
        </w:tc>
        <w:tc>
          <w:tcPr>
            <w:tcW w:w="649" w:type="dxa"/>
            <w:vMerge w:val="continue"/>
            <w:tcBorders>
              <w:top w:val="single" w:color="auto" w:sz="4" w:space="0"/>
              <w:left w:val="nil"/>
              <w:bottom w:val="single" w:color="auto" w:sz="4" w:space="0"/>
              <w:right w:val="single" w:color="auto" w:sz="4" w:space="0"/>
            </w:tcBorders>
            <w:vAlign w:val="center"/>
          </w:tcPr>
          <w:p>
            <w:pPr>
              <w:widowControl/>
              <w:jc w:val="left"/>
              <w:rPr>
                <w:rFonts w:ascii="Calibri" w:hAnsi="Calibri" w:eastAsia="宋体" w:cs="Times New Roman"/>
                <w:kern w:val="0"/>
                <w:szCs w:val="21"/>
              </w:rPr>
            </w:pPr>
          </w:p>
        </w:tc>
        <w:tc>
          <w:tcPr>
            <w:tcW w:w="649" w:type="dxa"/>
            <w:vMerge w:val="continue"/>
            <w:tcBorders>
              <w:top w:val="single" w:color="auto" w:sz="4" w:space="0"/>
              <w:left w:val="nil"/>
              <w:bottom w:val="single" w:color="auto" w:sz="4" w:space="0"/>
              <w:right w:val="single" w:color="auto" w:sz="4" w:space="0"/>
            </w:tcBorders>
            <w:vAlign w:val="center"/>
          </w:tcPr>
          <w:p>
            <w:pPr>
              <w:widowControl/>
              <w:jc w:val="left"/>
              <w:rPr>
                <w:rFonts w:ascii="Calibri" w:hAnsi="Calibri" w:eastAsia="宋体" w:cs="Times New Roman"/>
                <w:kern w:val="0"/>
                <w:szCs w:val="21"/>
              </w:rPr>
            </w:pPr>
          </w:p>
        </w:tc>
        <w:tc>
          <w:tcPr>
            <w:tcW w:w="649" w:type="dxa"/>
            <w:vMerge w:val="continue"/>
            <w:tcBorders>
              <w:top w:val="single" w:color="auto" w:sz="4" w:space="0"/>
              <w:left w:val="nil"/>
              <w:bottom w:val="single" w:color="auto" w:sz="4" w:space="0"/>
              <w:right w:val="single" w:color="auto" w:sz="4" w:space="0"/>
            </w:tcBorders>
            <w:vAlign w:val="center"/>
          </w:tcPr>
          <w:p>
            <w:pPr>
              <w:widowControl/>
              <w:jc w:val="left"/>
              <w:rPr>
                <w:rFonts w:ascii="Calibri" w:hAnsi="Calibri" w:eastAsia="宋体" w:cs="Times New Roman"/>
                <w:kern w:val="0"/>
                <w:szCs w:val="21"/>
              </w:rPr>
            </w:pPr>
          </w:p>
        </w:tc>
        <w:tc>
          <w:tcPr>
            <w:tcW w:w="649"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结果</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维持</w:t>
            </w:r>
          </w:p>
        </w:tc>
        <w:tc>
          <w:tcPr>
            <w:tcW w:w="649"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结果</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纠正</w:t>
            </w:r>
          </w:p>
        </w:tc>
        <w:tc>
          <w:tcPr>
            <w:tcW w:w="65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其他</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结果</w:t>
            </w:r>
          </w:p>
        </w:tc>
        <w:tc>
          <w:tcPr>
            <w:tcW w:w="65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尚未</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审结</w:t>
            </w:r>
          </w:p>
        </w:tc>
        <w:tc>
          <w:tcPr>
            <w:tcW w:w="65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总计</w:t>
            </w:r>
          </w:p>
        </w:tc>
        <w:tc>
          <w:tcPr>
            <w:tcW w:w="65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结果</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维持</w:t>
            </w:r>
          </w:p>
        </w:tc>
        <w:tc>
          <w:tcPr>
            <w:tcW w:w="65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结果</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纠正</w:t>
            </w:r>
          </w:p>
        </w:tc>
        <w:tc>
          <w:tcPr>
            <w:tcW w:w="65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其他</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结果</w:t>
            </w:r>
          </w:p>
        </w:tc>
        <w:tc>
          <w:tcPr>
            <w:tcW w:w="65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尚未</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审结</w:t>
            </w:r>
          </w:p>
        </w:tc>
        <w:tc>
          <w:tcPr>
            <w:tcW w:w="65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Calibri" w:hAnsi="Calibri" w:eastAsia="宋体" w:cs="Times New Roman"/>
                <w:kern w:val="0"/>
                <w:szCs w:val="21"/>
              </w:rPr>
            </w:pPr>
            <w:r>
              <w:rPr>
                <w:rFonts w:hint="eastAsia" w:ascii="宋体" w:hAnsi="宋体" w:eastAsia="宋体" w:cs="Times New Roman"/>
                <w:color w:val="000000"/>
                <w:kern w:val="0"/>
                <w:sz w:val="20"/>
                <w:szCs w:val="20"/>
              </w:rPr>
              <w:t>总计</w:t>
            </w:r>
          </w:p>
        </w:tc>
      </w:tr>
      <w:tr>
        <w:tblPrEx>
          <w:tblLayout w:type="fixed"/>
          <w:tblCellMar>
            <w:top w:w="0" w:type="dxa"/>
            <w:left w:w="0" w:type="dxa"/>
            <w:bottom w:w="0" w:type="dxa"/>
            <w:right w:w="0" w:type="dxa"/>
          </w:tblCellMar>
        </w:tblPrEx>
        <w:trPr>
          <w:trHeight w:val="253" w:hRule="atLeast"/>
          <w:jc w:val="center"/>
        </w:trPr>
        <w:tc>
          <w:tcPr>
            <w:tcW w:w="649"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49"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49"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49"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49"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49"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49"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50"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50"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50"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50"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50"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50"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50"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r>
              <w:rPr>
                <w:rFonts w:ascii="Calibri" w:hAnsi="Calibri" w:eastAsia="宋体" w:cs="Times New Roman"/>
                <w:color w:val="000000"/>
                <w:kern w:val="0"/>
                <w:sz w:val="20"/>
                <w:szCs w:val="20"/>
              </w:rPr>
              <w:t> </w:t>
            </w:r>
          </w:p>
        </w:tc>
        <w:tc>
          <w:tcPr>
            <w:tcW w:w="650"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Calibri" w:hAnsi="Calibri" w:eastAsia="宋体" w:cs="Times New Roman"/>
                <w:kern w:val="0"/>
                <w:szCs w:val="21"/>
              </w:rPr>
            </w:pPr>
            <w:r>
              <w:rPr>
                <w:rFonts w:hint="eastAsia" w:ascii="Calibri" w:hAnsi="Calibri" w:eastAsia="仿宋_GB2312" w:cs="Times New Roman"/>
                <w:color w:val="000000"/>
                <w:kern w:val="0"/>
                <w:sz w:val="20"/>
                <w:szCs w:val="20"/>
              </w:rPr>
              <w:t>0</w:t>
            </w:r>
          </w:p>
        </w:tc>
      </w:tr>
    </w:tbl>
    <w:p>
      <w:pPr>
        <w:widowControl/>
        <w:shd w:val="clear" w:color="auto" w:fill="FFFFFF"/>
        <w:jc w:val="lef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ind w:firstLine="643"/>
        <w:rPr>
          <w:rFonts w:ascii="Calibri" w:hAnsi="Calibri" w:eastAsia="宋体" w:cs="宋体"/>
          <w:color w:val="000000"/>
          <w:kern w:val="0"/>
          <w:sz w:val="24"/>
          <w:szCs w:val="24"/>
        </w:rPr>
      </w:pPr>
      <w:r>
        <w:rPr>
          <w:rFonts w:hint="eastAsia" w:ascii="黑体" w:hAnsi="黑体" w:eastAsia="黑体" w:cs="宋体"/>
          <w:b/>
          <w:bCs/>
          <w:color w:val="000000"/>
          <w:kern w:val="0"/>
          <w:sz w:val="32"/>
          <w:szCs w:val="32"/>
          <w:shd w:val="clear" w:color="auto" w:fill="FFFFFF"/>
        </w:rPr>
        <w:t>五、存在的主要问题及改进情况</w:t>
      </w:r>
    </w:p>
    <w:p>
      <w:pPr>
        <w:widowControl/>
        <w:shd w:val="clear" w:color="auto" w:fill="FFFFFF"/>
        <w:spacing w:line="468" w:lineRule="atLeast"/>
        <w:ind w:firstLine="384"/>
        <w:textAlignment w:val="baseline"/>
        <w:rPr>
          <w:rFonts w:ascii="Calibri" w:hAnsi="Calibri" w:eastAsia="宋体" w:cs="宋体"/>
          <w:color w:val="000000"/>
          <w:kern w:val="0"/>
          <w:sz w:val="24"/>
          <w:szCs w:val="24"/>
        </w:rPr>
      </w:pPr>
      <w:r>
        <w:rPr>
          <w:rFonts w:hint="eastAsia" w:ascii="方正楷体_GBK" w:hAnsi="Calibri" w:eastAsia="方正楷体_GBK" w:cs="宋体"/>
          <w:color w:val="000000"/>
          <w:kern w:val="0"/>
          <w:sz w:val="32"/>
          <w:szCs w:val="32"/>
          <w:shd w:val="clear" w:color="auto" w:fill="FFFFFF"/>
        </w:rPr>
        <w:t>（一）2023年度存在问题整改情况</w:t>
      </w:r>
    </w:p>
    <w:p>
      <w:pPr>
        <w:widowControl/>
        <w:shd w:val="clear" w:color="auto" w:fill="FFFFFF"/>
        <w:ind w:firstLine="64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1．2023年度我乡政府信息公开存在形式单一、内容单调、吸引力弱等问题；</w:t>
      </w:r>
    </w:p>
    <w:p>
      <w:pPr>
        <w:widowControl/>
        <w:shd w:val="clear" w:color="auto" w:fill="FFFFFF"/>
        <w:ind w:firstLine="64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2．政府网站平台日常监督管理不完善等问题。</w:t>
      </w:r>
    </w:p>
    <w:p>
      <w:pPr>
        <w:widowControl/>
        <w:shd w:val="clear" w:color="auto" w:fill="FFFFFF"/>
        <w:ind w:firstLine="64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针对上年度我乡存在的问题，2024年我乡强化履职尽责，提升工作水平，加大图文、视频、问答等解读方式力度，确保“谁起草、谁解读”；进一步拓宽公众参与渠道，通过设立政府开放日，充分结合线上线下平台，加强对政务公开工作的宣传和推广，增强政府与公众的互动与沟通。建立健全政务公开内部审核机制，明确“三审三校”的标准和程序，确保公开内容的准确性和合法性；定期对政务公开工作进行检查和评估，发现问题及时整改；建立政务公开工作考核与奖惩机制，将政务公开工作纳入绩效考核体系，激励工作人员积极履行职责。</w:t>
      </w:r>
    </w:p>
    <w:p>
      <w:pPr>
        <w:widowControl/>
        <w:shd w:val="clear" w:color="auto" w:fill="FFFFFF"/>
        <w:spacing w:line="468" w:lineRule="atLeast"/>
        <w:ind w:firstLine="384"/>
        <w:textAlignment w:val="baseline"/>
        <w:rPr>
          <w:rFonts w:ascii="方正楷体_GBK" w:hAnsi="Calibri" w:eastAsia="方正楷体_GBK" w:cs="宋体"/>
          <w:color w:val="000000"/>
          <w:kern w:val="0"/>
          <w:sz w:val="32"/>
          <w:szCs w:val="32"/>
          <w:shd w:val="clear" w:color="auto" w:fill="FFFFFF"/>
        </w:rPr>
      </w:pPr>
      <w:r>
        <w:rPr>
          <w:rFonts w:hint="eastAsia" w:ascii="方正楷体_GBK" w:hAnsi="Calibri" w:eastAsia="方正楷体_GBK" w:cs="宋体"/>
          <w:color w:val="000000"/>
          <w:kern w:val="0"/>
          <w:sz w:val="32"/>
          <w:szCs w:val="32"/>
          <w:shd w:val="clear" w:color="auto" w:fill="FFFFFF"/>
        </w:rPr>
        <w:t>（二）</w:t>
      </w:r>
      <w:r>
        <w:rPr>
          <w:rFonts w:hint="eastAsia" w:ascii="仿宋" w:hAnsi="仿宋" w:eastAsia="仿宋" w:cs="宋体"/>
          <w:color w:val="000000"/>
          <w:kern w:val="0"/>
          <w:sz w:val="32"/>
          <w:szCs w:val="32"/>
          <w:shd w:val="clear" w:color="auto" w:fill="FFFFFF"/>
        </w:rPr>
        <w:t>2024</w:t>
      </w:r>
      <w:r>
        <w:rPr>
          <w:rFonts w:hint="eastAsia" w:ascii="方正楷体_GBK" w:hAnsi="Calibri" w:eastAsia="方正楷体_GBK" w:cs="宋体"/>
          <w:color w:val="000000"/>
          <w:kern w:val="0"/>
          <w:sz w:val="32"/>
          <w:szCs w:val="32"/>
          <w:shd w:val="clear" w:color="auto" w:fill="FFFFFF"/>
        </w:rPr>
        <w:t>年度存在问题及下一步改进</w:t>
      </w:r>
    </w:p>
    <w:p>
      <w:pPr>
        <w:widowControl/>
        <w:shd w:val="clear" w:color="auto" w:fill="FFFFFF"/>
        <w:ind w:firstLine="64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2024年度我乡政务公开队伍经常发生变动，业务人员素质有待加强。</w:t>
      </w:r>
    </w:p>
    <w:p>
      <w:pPr>
        <w:widowControl/>
        <w:shd w:val="clear" w:color="auto" w:fill="FFFFFF"/>
        <w:ind w:firstLine="64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2025年度，我乡将进一步完善规范工作人员变动程序，通过提前沟通，完成工作上的交接，并在队伍发生变动的一个月内实现“老带新”工作模式，确保工作有效进行；不定期开展经验交流分享会，组织各部门相关工作人员分组讨论，提升队伍的理论素养与实践操作能力。</w:t>
      </w:r>
    </w:p>
    <w:p>
      <w:pPr>
        <w:widowControl/>
        <w:shd w:val="clear" w:color="auto" w:fill="FFFFFF"/>
        <w:ind w:firstLine="643"/>
        <w:rPr>
          <w:rFonts w:ascii="Calibri" w:hAnsi="Calibri" w:eastAsia="宋体" w:cs="宋体"/>
          <w:color w:val="000000"/>
          <w:kern w:val="0"/>
          <w:sz w:val="24"/>
          <w:szCs w:val="24"/>
        </w:rPr>
      </w:pPr>
      <w:r>
        <w:rPr>
          <w:rFonts w:hint="eastAsia" w:ascii="黑体" w:hAnsi="黑体" w:eastAsia="黑体" w:cs="宋体"/>
          <w:b/>
          <w:bCs/>
          <w:color w:val="000000"/>
          <w:kern w:val="0"/>
          <w:sz w:val="32"/>
          <w:szCs w:val="32"/>
          <w:shd w:val="clear" w:color="auto" w:fill="FFFFFF"/>
        </w:rPr>
        <w:t>六、其他需要报告的事项</w:t>
      </w:r>
    </w:p>
    <w:p>
      <w:pPr>
        <w:widowControl/>
        <w:shd w:val="clear" w:color="auto" w:fill="FFFFFF"/>
        <w:ind w:firstLine="64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按照《国务院办公厅关于印发〈政府信息公开信息处理费管理办法〉的通知》（国办函〔2020〕109号）规定的按件、按量收费标准，本年度没有产生信息公开处理费。</w:t>
      </w:r>
    </w:p>
    <w:p>
      <w:pPr>
        <w:widowControl/>
        <w:shd w:val="clear" w:color="auto" w:fill="FFFFFF"/>
        <w:ind w:firstLine="420"/>
        <w:jc w:val="left"/>
        <w:rPr>
          <w:rFonts w:ascii="Calibri" w:hAnsi="Calibri" w:eastAsia="宋体" w:cs="宋体"/>
          <w:color w:val="000000"/>
          <w:kern w:val="0"/>
          <w:szCs w:val="21"/>
        </w:rPr>
      </w:pPr>
      <w:r>
        <w:rPr>
          <w:rFonts w:ascii="Calibri" w:hAnsi="Calibri" w:eastAsia="宋体" w:cs="宋体"/>
          <w:color w:val="000000"/>
          <w:kern w:val="0"/>
          <w:szCs w:val="21"/>
        </w:rPr>
        <w:t> </w:t>
      </w:r>
    </w:p>
    <w:p>
      <w:pPr>
        <w:jc w:val="center"/>
        <w:rPr>
          <w:rFonts w:ascii="仿宋" w:hAnsi="仿宋" w:eastAsia="仿宋"/>
          <w:sz w:val="32"/>
          <w:szCs w:val="32"/>
        </w:rPr>
      </w:pPr>
      <w:r>
        <w:rPr>
          <w:rFonts w:hint="eastAsia" w:ascii="仿宋" w:hAnsi="仿宋" w:eastAsia="仿宋"/>
          <w:sz w:val="32"/>
          <w:szCs w:val="32"/>
        </w:rPr>
        <w:t xml:space="preserve">                               </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Times New Roman"/>
    <w:panose1 w:val="00000000000000000000"/>
    <w:charset w:val="00"/>
    <w:family w:val="auto"/>
    <w:pitch w:val="default"/>
    <w:sig w:usb0="00000000" w:usb1="00000000" w:usb2="00000000" w:usb3="00000000" w:csb0="00000000" w:csb1="00000000"/>
  </w:font>
  <w:font w:name="方正小标宋_GBK">
    <w:altName w:val="Times New Roman"/>
    <w:panose1 w:val="00000000000000000000"/>
    <w:charset w:val="00"/>
    <w:family w:val="auto"/>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73F95"/>
    <w:rsid w:val="000965D7"/>
    <w:rsid w:val="00146DEC"/>
    <w:rsid w:val="005961D3"/>
    <w:rsid w:val="006264C0"/>
    <w:rsid w:val="00773F95"/>
    <w:rsid w:val="0093424B"/>
    <w:rsid w:val="00C63D2E"/>
    <w:rsid w:val="00C9417A"/>
    <w:rsid w:val="00D16B2D"/>
    <w:rsid w:val="00DE44B0"/>
    <w:rsid w:val="00F96127"/>
    <w:rsid w:val="29D768A5"/>
    <w:rsid w:val="55575646"/>
    <w:rsid w:val="6B015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2740</Words>
  <Characters>2835</Characters>
  <Lines>25</Lines>
  <Paragraphs>7</Paragraphs>
  <TotalTime>29</TotalTime>
  <ScaleCrop>false</ScaleCrop>
  <LinksUpToDate>false</LinksUpToDate>
  <CharactersWithSpaces>3066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2025-01-14T01:22:00Z</dcterms:created>
  <dc:creator>Administrator</dc:creator>
  <cp:lastModifiedBy>Administrator</cp:lastModifiedBy>
  <dcterms:modified xsi:type="dcterms:W3CDTF">2025-01-14T07:32:54Z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4B99C3D296CA6F64CFC48467EE9D3EE1_31</vt:lpwstr>
  </property>
  <property fmtid="{D5CDD505-2E9C-101B-9397-08002B2CF9AE}" pid="4" name="KSOTemplateDocerSaveRecord">
    <vt:lpwstr>eyJoZGlkIjoiYjEyM2FkZTRhMDI4YTViZjNiMzJjMTFhNThlZTQxMGQiLCJ1c2VySWQiOiIzMzAwMTY0MzEifQ==</vt:lpwstr>
  </property>
</Properties>
</file>