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05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舒城县自然资源和规划局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政府</w:t>
      </w:r>
    </w:p>
    <w:p w14:paraId="6E7064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信息公开工作年度报告</w:t>
      </w:r>
    </w:p>
    <w:p w14:paraId="0CC0F5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报告根据《中华人民共和国政府信息公开条例》（国务院令第711号）要求编制，结合舒城县自然资源和规划局政府信息公开工作有关统计数据撰写。报告全文主要包括：总体情况、主动公开政府信息情况、收到和处理政府信息公开申请情况、政府信息公开行政复议和行政诉讼情况、政府信息公开工作存在主要问题及改进情况和其他需要报告事项。本报告中使用数据统计期限为2024年1月1日至12月31日。如有疑问，请与舒城县自然资源和规划局联系，联系方式：0564-8620867。现将2024年县自然资源局政府信息公开工作报告如下：</w:t>
      </w:r>
    </w:p>
    <w:p w14:paraId="781AA3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3D8A7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主动公开情况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。落实工作机制。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过去一年，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舒城县自然资源和规划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局紧紧围绕年度政务公开重点工作任务分工，构建了“一把手”负总责、分管领导具体抓、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办公室牵头、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各科室协同落实的工作机制，全方位、多维度推进信息公开工作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聚焦重点领域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重点公开了自然资源规划政策法规、国土空间规划、土地征收、矿业权出让、地质灾害防治等信息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。全年发布主动公开信息累计达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条，确保信息公开的及时性、准确性和权威性。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全面推进基层政务公开“两化”建设。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作为基层“两化”领域中自然资源领域的牵头单位，指导各乡镇所规范公开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国土空间规划编制、规划许可、农村集体土地征收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等信息，推动基层信息公开标准化规范化。</w:t>
      </w:r>
    </w:p>
    <w:p w14:paraId="45CD2E2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进一步规范依申请公开工作流程，明确受理、审查、处理、答复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、归档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等各个环节的要求和时限。本年度共收到政府信息公开申请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上年结转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。申请事项主要集中在土地征收、规划审批等方面。已依法办理并答复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件，其中部分公开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件，因本机关不掌握相关政府信息而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无法提供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件。所有申请均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办理。同时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对于复杂或疑难的申请，积极与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县政务公开办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协商，提供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适当答复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方案。 </w:t>
      </w:r>
    </w:p>
    <w:p w14:paraId="70A83A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在政府信息管理方面，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舒城县自然资源和规划局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进一步完善了规范性文件格式规范，确保文件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格式、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容的准确性和可读性。加强源头认定公开工作，对涉及公共利益、社会广泛关注的政府信息，在起草阶段即明确公开属性。同时，修订完善了公开制度，加强保密审查，确保政府信息公开工作依法依规进行。此外，定期开展规范性文件清理工作，及时废止或修改过时或不适用的文件。</w:t>
      </w:r>
    </w:p>
    <w:p w14:paraId="39CA4C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政府信息公开平台建设情况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2024年度，我局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积极推进政府信息公开平台建设，优化专题专栏设置，新增了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优化营商环境等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与公众生活密切相关的专题专栏。完善政策文件库，方便公众查询和获取相关政策文件。充分发挥热线服务平台的作用，及时处理公众的咨询和投诉，做到件件有回音、事事有着落。</w:t>
      </w:r>
    </w:p>
    <w:p w14:paraId="1BFCB5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监督保障。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在监督保障方面，将政府信息公开工作纳入局年度工作考核体系，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由办公室牵头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定期对各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负责提供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的政府信息公开工作进行考核评价。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本年度未开展政府信息公开社会评议工作。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对于工作中存在的问题和不足，及时进行整改和责任追究，确保政府信息公开工作不断取得新的成效。2024年未发生因政府信息公开工作不力而被问责的情况。</w:t>
      </w:r>
    </w:p>
    <w:p w14:paraId="2023F2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CB4F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941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87D9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B68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351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A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82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CFD6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761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5F5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09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2CC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186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AAC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3D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02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D6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459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42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6322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A09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8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B51E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B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7F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</w:tr>
      <w:tr w14:paraId="56DCD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AC6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A89B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0C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A65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67AC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1BF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9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9EF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22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DAA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047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E3FF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6CF8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7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15B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05CE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EF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99C4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8"/>
                <w:lang w:val="en-US" w:eastAsia="zh-CN"/>
              </w:rPr>
              <w:t>735.2840</w:t>
            </w:r>
          </w:p>
        </w:tc>
      </w:tr>
    </w:tbl>
    <w:p w14:paraId="62849E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A2D0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B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9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0040D5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3A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F22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C9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108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4D0D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11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81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0A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3AFBA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70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2BD1F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FC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7DB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6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FE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DFC6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1A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51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AF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70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B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D7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D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D67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52ECF0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3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B2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DF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AD1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4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37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FD3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4D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52BA4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CB6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958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183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1E8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D5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CC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0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5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4B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927E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B4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627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42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0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18F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6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9B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D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316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362A93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6A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D8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48C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7B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D5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74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EFC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28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76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4E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302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8DC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E1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6E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972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09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D0D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DD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E4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E52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BB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E0478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7BE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61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822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B9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455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22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99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B41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C22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DEC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0B8C4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89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D74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D9F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618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972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2A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DF1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6A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C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C1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85B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5D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22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1A9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F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327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47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A7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EA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64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38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71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F0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B7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44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9BD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57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B4E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32E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99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2F1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60B7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CFE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88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F0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13B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C6A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45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B51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06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49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A7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1AB48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5B2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FED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0C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FFC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FD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586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D1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3B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C5C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03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31FC1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74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A2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69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066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436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042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E0E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1E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ED2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9D0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E2B8A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74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23E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55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DD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B6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8A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AB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14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29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31E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61F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AB0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9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87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4D6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34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43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B9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26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1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7F0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04095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0B2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F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D5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91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668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BF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47A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9B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EA8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27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D03EC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CC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C93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784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58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B4A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A78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D38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38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4E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72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414A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EC8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DA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54F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D9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68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C8A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32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54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FEC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A44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9BBE1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A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47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0FD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FD4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AC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F2D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A2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C9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437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09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B23F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40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D9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4B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226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4A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21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47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20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C4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40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8CA0C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53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2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675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A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CB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1F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884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DB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B07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EF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2ED0F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6E53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FB7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97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05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5F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30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9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36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11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B89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190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3B98A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B0AD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8F7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94C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8A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9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7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AE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8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9AD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94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55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3A9F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99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D6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4B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25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6E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8C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0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5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14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2F23C4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38E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6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0D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B1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9D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8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AF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53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083FB9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1D84E1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1155F4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DA7E6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6A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E11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676A89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7B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2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E3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DA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5E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9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98D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5C2EB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DA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E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71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6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04D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1B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9F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8E8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DB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5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3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4F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7B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4F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A1B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AA6A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2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1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F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CB3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FF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F95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8DF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44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05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CF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81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B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7E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C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73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875A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59D713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44FC44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针对上一年度政府信息公开工作存在的问题，县自然资源和规划局通过优化栏目设置，围绕重点领域，进一步深化公开内容，提升公开效果；通过图文、新闻发布会等多种形式解读政策，信息解读更加通俗易懂；对于申请内容复杂的依申请公开办件，逐项梳理申请人需求，一一作答，层层把关，</w:t>
      </w:r>
      <w:r>
        <w:rPr>
          <w:rFonts w:hint="eastAsia" w:ascii="仿宋_GB2312" w:hAnsi="宋体" w:eastAsia="仿宋_GB2312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确保答复时效性及内容合法性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309A5A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舒城县自然资源和规划局高度重视政府信息公开工作，积极履行法定职责，主动公开各类政府信息，在肯定成绩的同时，还存在一些不足。一是信息公开的时效性有待进一步提高，个别信息未能及时更新。二是政府信息公开工作人员的业务能力和综合素质有待提升。</w:t>
      </w:r>
    </w:p>
    <w:p w14:paraId="2FEF19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2025年，舒城县自然资源和规划局将继续深化政府信息公开工作，针对2024年存在的问题实施一系列改进措施，确保政府信息公开更加高效、透明，更好地服务于公众需求。一是提升信息公开时效性。一是建立健全信息发布的跟踪和督促机制，明确信息更新的责任人和时间节点，确保信息的及时准确发布。二是加强对政府信息公开工作人员的培训和指导，积极参加市县组织的业务培训和交流活动，不断提高工作人员的业务水平和工作能力。</w:t>
      </w:r>
    </w:p>
    <w:p w14:paraId="05DB2F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spacing w:val="-8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B7489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8A084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1FF539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FF539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437D9D3C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FD053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601A3F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01A3F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B8ACD3B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WI2ZWRjNDljMDI4YjkzNDAwYjU1M2VmZGQ0OGEifQ=="/>
  </w:docVars>
  <w:rsids>
    <w:rsidRoot w:val="00000000"/>
    <w:rsid w:val="052120A3"/>
    <w:rsid w:val="060A0D89"/>
    <w:rsid w:val="0DDD6D83"/>
    <w:rsid w:val="0E1F739B"/>
    <w:rsid w:val="10327D5F"/>
    <w:rsid w:val="12F6691D"/>
    <w:rsid w:val="13C25589"/>
    <w:rsid w:val="17B330D4"/>
    <w:rsid w:val="19C55DD7"/>
    <w:rsid w:val="1A1E49AB"/>
    <w:rsid w:val="1EB458DE"/>
    <w:rsid w:val="1F0423C1"/>
    <w:rsid w:val="1F446C62"/>
    <w:rsid w:val="24092228"/>
    <w:rsid w:val="248875F1"/>
    <w:rsid w:val="2CFA4E04"/>
    <w:rsid w:val="2F6F3887"/>
    <w:rsid w:val="34E42621"/>
    <w:rsid w:val="3A8F302F"/>
    <w:rsid w:val="3D8449A1"/>
    <w:rsid w:val="40972C3D"/>
    <w:rsid w:val="42CB4E20"/>
    <w:rsid w:val="45F91CA4"/>
    <w:rsid w:val="484C7D5F"/>
    <w:rsid w:val="4B7D6ED4"/>
    <w:rsid w:val="4FC450D1"/>
    <w:rsid w:val="507F724A"/>
    <w:rsid w:val="50A0169A"/>
    <w:rsid w:val="51FA302C"/>
    <w:rsid w:val="52EA3518"/>
    <w:rsid w:val="541303D5"/>
    <w:rsid w:val="56A17F1A"/>
    <w:rsid w:val="577B7EED"/>
    <w:rsid w:val="58B73A25"/>
    <w:rsid w:val="59B166C6"/>
    <w:rsid w:val="5A862E7C"/>
    <w:rsid w:val="5D064606"/>
    <w:rsid w:val="5D7C6FEB"/>
    <w:rsid w:val="616109D2"/>
    <w:rsid w:val="61744FEB"/>
    <w:rsid w:val="62785AF6"/>
    <w:rsid w:val="66EA3218"/>
    <w:rsid w:val="6CEA1A52"/>
    <w:rsid w:val="6DA06627"/>
    <w:rsid w:val="6EAC7C16"/>
    <w:rsid w:val="70781894"/>
    <w:rsid w:val="797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2722</Characters>
  <Lines>0</Lines>
  <Paragraphs>0</Paragraphs>
  <TotalTime>6</TotalTime>
  <ScaleCrop>false</ScaleCrop>
  <LinksUpToDate>false</LinksUpToDate>
  <CharactersWithSpaces>2919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古色古香的楼台</cp:lastModifiedBy>
  <dcterms:modified xsi:type="dcterms:W3CDTF">2025-02-21T08:32:22Z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56DEBECAC57B4389B6C332F59E253B7D_13</vt:lpwstr>
  </property>
  <property fmtid="{D5CDD505-2E9C-101B-9397-08002B2CF9AE}" pid="4" name="KSOTemplateDocerSaveRecord">
    <vt:lpwstr>eyJoZGlkIjoiZTlkN2UyMmEzZWJhYzc1ODNjM2M2ODgwN2E1MWM0MjMiLCJ1c2VySWQiOiIyNjc4Mzc3NTYifQ==</vt:lpwstr>
  </property>
</Properties>
</file>