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D2BD">
      <w:pPr>
        <w:widowControl/>
        <w:shd w:val="clear"/>
        <w:rPr>
          <w:rFonts w:ascii="Times New Roman" w:hAnsi="Times New Roman" w:eastAsia="仿宋_GB2312" w:cs="Times New Roman"/>
          <w:color w:val="000000"/>
          <w:kern w:val="0"/>
          <w:sz w:val="24"/>
          <w:szCs w:val="32"/>
        </w:rPr>
      </w:pPr>
    </w:p>
    <w:p w14:paraId="6A3518B1">
      <w:pPr>
        <w:widowControl/>
        <w:shd w:val="clear"/>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lang w:val="en-US" w:eastAsia="zh-CN"/>
        </w:rPr>
        <w:t>舒城县统计局2024年</w:t>
      </w:r>
      <w:r>
        <w:rPr>
          <w:rFonts w:ascii="Times New Roman" w:hAnsi="Times New Roman" w:eastAsia="方正小标宋简体" w:cs="Times New Roman"/>
          <w:color w:val="000000"/>
          <w:kern w:val="0"/>
          <w:sz w:val="44"/>
          <w:szCs w:val="44"/>
        </w:rPr>
        <w:t>政府信息公开工作年度报告</w:t>
      </w:r>
    </w:p>
    <w:p w14:paraId="0743C70C">
      <w:pPr>
        <w:widowControl/>
        <w:shd w:val="clear"/>
        <w:ind w:firstLine="480"/>
        <w:rPr>
          <w:rFonts w:ascii="Times New Roman" w:hAnsi="Times New Roman" w:eastAsia="仿宋_GB2312" w:cs="Times New Roman"/>
          <w:color w:val="000000"/>
          <w:kern w:val="0"/>
          <w:sz w:val="24"/>
          <w:szCs w:val="32"/>
        </w:rPr>
      </w:pPr>
    </w:p>
    <w:p w14:paraId="4EED274D">
      <w:pPr>
        <w:widowControl/>
        <w:shd w:val="clear"/>
        <w:ind w:firstLine="48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根据《中华人民共和国政府信息公开条例》（国务院令第711号）规定和《国务院办公厅政府信息与政务公开办公室关于印发&lt;中华人民共和国政府信息公开工作年度报告格式&gt;的通知》（国办公开办函〔2021〕30号）要求，编制</w:t>
      </w:r>
      <w:r>
        <w:rPr>
          <w:rFonts w:hint="eastAsia" w:ascii="Times New Roman" w:hAnsi="Times New Roman" w:eastAsia="仿宋_GB2312" w:cs="Times New Roman"/>
          <w:color w:val="000000"/>
          <w:kern w:val="0"/>
          <w:sz w:val="32"/>
          <w:szCs w:val="32"/>
          <w:lang w:val="en-US" w:eastAsia="zh-CN"/>
        </w:rPr>
        <w:t>2024</w:t>
      </w:r>
      <w:r>
        <w:rPr>
          <w:rFonts w:hint="eastAsia" w:ascii="Times New Roman" w:hAnsi="Times New Roman" w:eastAsia="仿宋_GB2312" w:cs="Times New Roman"/>
          <w:color w:val="000000"/>
          <w:kern w:val="0"/>
          <w:sz w:val="32"/>
          <w:szCs w:val="32"/>
        </w:rPr>
        <w:t>年度舒城县统计局政府信息公开工作年度报告。全文包括总体情况、主动公开政府信息情况、收到和处理政府信息公开申请情况、政府信息公开行政复议、行政诉讼情况、存在的主要问题和改进情况和其他需要报告的事项。本年度报告中使用数据统计期限为</w:t>
      </w:r>
      <w:r>
        <w:rPr>
          <w:rFonts w:hint="eastAsia" w:ascii="Times New Roman" w:hAnsi="Times New Roman" w:eastAsia="仿宋_GB2312" w:cs="Times New Roman"/>
          <w:color w:val="000000"/>
          <w:kern w:val="0"/>
          <w:sz w:val="32"/>
          <w:szCs w:val="32"/>
          <w:lang w:val="en-US" w:eastAsia="zh-CN"/>
        </w:rPr>
        <w:t>2024</w:t>
      </w:r>
      <w:r>
        <w:rPr>
          <w:rFonts w:hint="eastAsia" w:ascii="Times New Roman" w:hAnsi="Times New Roman" w:eastAsia="仿宋_GB2312" w:cs="Times New Roman"/>
          <w:color w:val="000000"/>
          <w:kern w:val="0"/>
          <w:sz w:val="32"/>
          <w:szCs w:val="32"/>
        </w:rPr>
        <w:t>年1月1日至</w:t>
      </w:r>
      <w:r>
        <w:rPr>
          <w:rFonts w:hint="eastAsia" w:ascii="Times New Roman" w:hAnsi="Times New Roman" w:eastAsia="仿宋_GB2312" w:cs="Times New Roman"/>
          <w:color w:val="000000"/>
          <w:kern w:val="0"/>
          <w:sz w:val="32"/>
          <w:szCs w:val="32"/>
          <w:lang w:val="en-US" w:eastAsia="zh-CN"/>
        </w:rPr>
        <w:t>2024</w:t>
      </w:r>
      <w:r>
        <w:rPr>
          <w:rFonts w:hint="eastAsia" w:ascii="Times New Roman" w:hAnsi="Times New Roman" w:eastAsia="仿宋_GB2312" w:cs="Times New Roman"/>
          <w:color w:val="000000"/>
          <w:kern w:val="0"/>
          <w:sz w:val="32"/>
          <w:szCs w:val="32"/>
        </w:rPr>
        <w:t>年12月31日，本年度报告电子版可在舒城县政府信息公开平台下载。如对本报告有任何疑问，请与舒城县统计局联系（地址：安徽省六安市舒城县城关镇春秋北路1号</w:t>
      </w:r>
      <w:r>
        <w:rPr>
          <w:rFonts w:hint="eastAsia" w:ascii="Times New Roman" w:hAnsi="Times New Roman" w:eastAsia="仿宋_GB2312" w:cs="Times New Roman"/>
          <w:color w:val="000000"/>
          <w:kern w:val="0"/>
          <w:sz w:val="32"/>
          <w:szCs w:val="32"/>
          <w:lang w:val="en-US" w:eastAsia="zh-CN"/>
        </w:rPr>
        <w:t>集中办公区七楼</w:t>
      </w:r>
      <w:r>
        <w:rPr>
          <w:rFonts w:hint="eastAsia" w:ascii="Times New Roman" w:hAnsi="Times New Roman" w:eastAsia="仿宋_GB2312" w:cs="Times New Roman"/>
          <w:color w:val="000000"/>
          <w:kern w:val="0"/>
          <w:sz w:val="32"/>
          <w:szCs w:val="32"/>
        </w:rPr>
        <w:t>；邮编：231300；联系电话：0564-8621254）。</w:t>
      </w:r>
    </w:p>
    <w:p w14:paraId="157669BA">
      <w:pPr>
        <w:widowControl/>
        <w:shd w:val="clear"/>
        <w:spacing w:before="0" w:beforeAutospacing="0" w:after="0" w:afterAutospacing="0"/>
        <w:ind w:firstLine="420"/>
        <w:jc w:val="both"/>
        <w:rPr>
          <w:rFonts w:hint="eastAsia" w:ascii="宋体" w:hAnsi="宋体" w:eastAsia="宋体" w:cs="宋体"/>
          <w:b/>
          <w:color w:val="000000"/>
          <w:kern w:val="0"/>
          <w:sz w:val="32"/>
          <w:szCs w:val="32"/>
          <w:shd w:val="clear" w:color="auto" w:fill="FFFFFF"/>
          <w:lang w:val="en-US" w:eastAsia="zh-CN" w:bidi="ar-SA"/>
        </w:rPr>
      </w:pPr>
      <w:r>
        <w:rPr>
          <w:rFonts w:hint="eastAsia" w:ascii="宋体" w:hAnsi="宋体" w:eastAsia="宋体" w:cs="宋体"/>
          <w:b/>
          <w:color w:val="000000"/>
          <w:kern w:val="0"/>
          <w:sz w:val="32"/>
          <w:szCs w:val="32"/>
          <w:shd w:val="clear" w:color="auto" w:fill="FFFFFF"/>
          <w:lang w:val="en-US" w:eastAsia="zh-CN" w:bidi="ar-SA"/>
        </w:rPr>
        <w:t>一、总体情况</w:t>
      </w:r>
    </w:p>
    <w:p w14:paraId="396A26E3">
      <w:pPr>
        <w:keepNext w:val="0"/>
        <w:keepLines w:val="0"/>
        <w:pageBreakBefore w:val="0"/>
        <w:widowControl/>
        <w:shd w:val="clear"/>
        <w:kinsoku/>
        <w:wordWrap/>
        <w:overflowPunct/>
        <w:topLinePunct w:val="0"/>
        <w:autoSpaceDE/>
        <w:autoSpaceDN/>
        <w:bidi w:val="0"/>
        <w:adjustRightInd/>
        <w:snapToGrid/>
        <w:spacing w:before="0" w:beforeAutospacing="0" w:after="0" w:afterAutospacing="0"/>
        <w:ind w:firstLine="42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（一）主动公开</w:t>
      </w:r>
      <w:r>
        <w:rPr>
          <w:rFonts w:hint="eastAsia" w:ascii="Times New Roman" w:hAnsi="Times New Roman" w:eastAsia="仿宋_GB2312" w:cs="Times New Roman"/>
          <w:color w:val="000000"/>
          <w:kern w:val="0"/>
          <w:sz w:val="32"/>
          <w:szCs w:val="32"/>
          <w:lang w:val="en-US" w:eastAsia="zh-CN"/>
        </w:rPr>
        <w:t>情况</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舒城</w:t>
      </w:r>
      <w:r>
        <w:rPr>
          <w:rFonts w:hint="eastAsia" w:ascii="Times New Roman" w:hAnsi="Times New Roman" w:eastAsia="仿宋_GB2312" w:cs="Times New Roman"/>
          <w:color w:val="000000"/>
          <w:kern w:val="0"/>
          <w:sz w:val="32"/>
          <w:szCs w:val="32"/>
        </w:rPr>
        <w:t>县统计局认真贯彻落实政府信息公开工作的部署要求，严格执行《中华人民共和国政府信息公开条例》等有关规定，准确把握统计工作方向，以提升政府信息公开质量为主线，及时、准确公开统计数据、统计分析等各类信息，切实为社会公众服务。</w:t>
      </w:r>
      <w:r>
        <w:rPr>
          <w:rFonts w:hint="eastAsia" w:ascii="Times New Roman" w:hAnsi="Times New Roman" w:eastAsia="仿宋_GB2312" w:cs="Times New Roman"/>
          <w:color w:val="000000"/>
          <w:kern w:val="0"/>
          <w:sz w:val="32"/>
          <w:szCs w:val="32"/>
          <w:lang w:val="en-US" w:eastAsia="zh-CN"/>
        </w:rPr>
        <w:t>通过新闻发布会等方式及时解读季度全县经济运行数据，及时公开上级有关解读信息，2024</w:t>
      </w:r>
      <w:r>
        <w:rPr>
          <w:rFonts w:hint="eastAsia" w:ascii="Times New Roman" w:hAnsi="Times New Roman" w:eastAsia="仿宋_GB2312" w:cs="Times New Roman"/>
          <w:color w:val="000000"/>
          <w:kern w:val="0"/>
          <w:sz w:val="32"/>
          <w:szCs w:val="32"/>
        </w:rPr>
        <w:t>年，在政府信息公开平台主动公开信息</w:t>
      </w:r>
      <w:r>
        <w:rPr>
          <w:rFonts w:hint="eastAsia" w:ascii="Times New Roman" w:hAnsi="Times New Roman" w:eastAsia="仿宋_GB2312" w:cs="Times New Roman"/>
          <w:color w:val="000000"/>
          <w:kern w:val="0"/>
          <w:sz w:val="32"/>
          <w:szCs w:val="32"/>
          <w:lang w:val="en-US" w:eastAsia="zh-CN"/>
        </w:rPr>
        <w:t>203</w:t>
      </w:r>
      <w:r>
        <w:rPr>
          <w:rFonts w:hint="eastAsia" w:ascii="Times New Roman" w:hAnsi="Times New Roman" w:eastAsia="仿宋_GB2312" w:cs="Times New Roman"/>
          <w:color w:val="000000"/>
          <w:kern w:val="0"/>
          <w:sz w:val="32"/>
          <w:szCs w:val="32"/>
        </w:rPr>
        <w:t>条，“两化”栏目</w:t>
      </w:r>
      <w:r>
        <w:rPr>
          <w:rFonts w:hint="eastAsia" w:ascii="Times New Roman" w:hAnsi="Times New Roman" w:eastAsia="仿宋_GB2312" w:cs="Times New Roman"/>
          <w:color w:val="000000"/>
          <w:kern w:val="0"/>
          <w:sz w:val="32"/>
          <w:szCs w:val="32"/>
          <w:lang w:val="en-US" w:eastAsia="zh-CN"/>
        </w:rPr>
        <w:t>中</w:t>
      </w:r>
      <w:r>
        <w:rPr>
          <w:rFonts w:hint="eastAsia" w:ascii="Times New Roman" w:hAnsi="Times New Roman" w:eastAsia="仿宋_GB2312" w:cs="Times New Roman"/>
          <w:color w:val="000000"/>
          <w:kern w:val="0"/>
          <w:sz w:val="32"/>
          <w:szCs w:val="32"/>
        </w:rPr>
        <w:t>统计领域主动公开信息</w:t>
      </w:r>
      <w:r>
        <w:rPr>
          <w:rFonts w:hint="eastAsia" w:ascii="Times New Roman" w:hAnsi="Times New Roman" w:eastAsia="仿宋_GB2312" w:cs="Times New Roman"/>
          <w:color w:val="000000"/>
          <w:kern w:val="0"/>
          <w:sz w:val="32"/>
          <w:szCs w:val="32"/>
          <w:lang w:val="en-US" w:eastAsia="zh-CN"/>
        </w:rPr>
        <w:t>67</w:t>
      </w:r>
      <w:r>
        <w:rPr>
          <w:rFonts w:hint="eastAsia" w:ascii="Times New Roman" w:hAnsi="Times New Roman" w:eastAsia="仿宋_GB2312" w:cs="Times New Roman"/>
          <w:color w:val="000000"/>
          <w:kern w:val="0"/>
          <w:sz w:val="32"/>
          <w:szCs w:val="32"/>
        </w:rPr>
        <w:t>条</w:t>
      </w:r>
      <w:r>
        <w:rPr>
          <w:rFonts w:hint="eastAsia" w:ascii="Times New Roman" w:hAnsi="Times New Roman" w:eastAsia="仿宋_GB2312" w:cs="Times New Roman"/>
          <w:color w:val="000000"/>
          <w:kern w:val="0"/>
          <w:sz w:val="32"/>
          <w:szCs w:val="32"/>
          <w:lang w:eastAsia="zh-CN"/>
        </w:rPr>
        <w:t>。</w:t>
      </w:r>
    </w:p>
    <w:p w14:paraId="5365388D">
      <w:pPr>
        <w:keepNext w:val="0"/>
        <w:keepLines w:val="0"/>
        <w:pageBreakBefore w:val="0"/>
        <w:widowControl/>
        <w:shd w:val="clear"/>
        <w:kinsoku/>
        <w:wordWrap/>
        <w:overflowPunct/>
        <w:topLinePunct w:val="0"/>
        <w:autoSpaceDE/>
        <w:autoSpaceDN/>
        <w:bidi w:val="0"/>
        <w:adjustRightInd/>
        <w:snapToGrid/>
        <w:spacing w:before="0" w:beforeAutospacing="0" w:after="0" w:afterAutospacing="0"/>
        <w:ind w:firstLine="420"/>
        <w:jc w:val="both"/>
        <w:textAlignment w:val="auto"/>
        <w:rPr>
          <w:rFonts w:hint="eastAsia" w:ascii="Times New Roman" w:hAnsi="Times New Roman" w:eastAsia="仿宋_GB2312" w:cs="Times New Roman"/>
          <w:strike/>
          <w:dstrike w:val="0"/>
          <w:color w:val="000000"/>
          <w:kern w:val="0"/>
          <w:sz w:val="32"/>
          <w:szCs w:val="32"/>
          <w:lang w:val="en-US" w:eastAsia="zh-CN"/>
        </w:rPr>
      </w:pPr>
      <w:r>
        <w:rPr>
          <w:rFonts w:hint="eastAsia" w:ascii="Times New Roman" w:hAnsi="Times New Roman" w:eastAsia="仿宋_GB2312" w:cs="Times New Roman"/>
          <w:color w:val="000000"/>
          <w:kern w:val="0"/>
          <w:sz w:val="32"/>
          <w:szCs w:val="32"/>
        </w:rPr>
        <w:t>（二）依申请公开。</w:t>
      </w:r>
      <w:r>
        <w:rPr>
          <w:rFonts w:hint="eastAsia" w:ascii="Times New Roman" w:hAnsi="Times New Roman" w:eastAsia="仿宋_GB2312" w:cs="Times New Roman"/>
          <w:color w:val="000000"/>
          <w:kern w:val="0"/>
          <w:sz w:val="32"/>
          <w:szCs w:val="32"/>
          <w:lang w:val="en-US" w:eastAsia="zh-CN"/>
        </w:rPr>
        <w:t>舒城</w:t>
      </w:r>
      <w:r>
        <w:rPr>
          <w:rFonts w:hint="eastAsia" w:ascii="Times New Roman" w:hAnsi="Times New Roman" w:eastAsia="仿宋_GB2312" w:cs="Times New Roman"/>
          <w:color w:val="000000"/>
          <w:kern w:val="0"/>
          <w:sz w:val="32"/>
          <w:szCs w:val="32"/>
        </w:rPr>
        <w:t>县统计局严格按照年度依申请公开制度落实、平台办理规范，</w:t>
      </w:r>
      <w:r>
        <w:rPr>
          <w:rFonts w:hint="eastAsia" w:ascii="Times New Roman" w:hAnsi="Times New Roman" w:eastAsia="仿宋_GB2312" w:cs="Times New Roman"/>
          <w:color w:val="000000"/>
          <w:kern w:val="0"/>
          <w:sz w:val="32"/>
          <w:szCs w:val="32"/>
          <w:lang w:val="en-US" w:eastAsia="zh-CN"/>
        </w:rPr>
        <w:t>结合工作实际，及时更新完善公开指南中的依申请内容，不断畅通依申请公开受理渠道。2024年县统计局共收到政府信息公开申请件1件，受理的申请件已按规定在法定期限内予以答复。</w:t>
      </w:r>
    </w:p>
    <w:p w14:paraId="3A93C424">
      <w:pPr>
        <w:keepNext w:val="0"/>
        <w:keepLines w:val="0"/>
        <w:pageBreakBefore w:val="0"/>
        <w:widowControl/>
        <w:shd w:val="clear"/>
        <w:kinsoku/>
        <w:wordWrap/>
        <w:overflowPunct/>
        <w:topLinePunct w:val="0"/>
        <w:autoSpaceDE/>
        <w:autoSpaceDN/>
        <w:bidi w:val="0"/>
        <w:adjustRightInd/>
        <w:snapToGrid/>
        <w:spacing w:before="0" w:beforeAutospacing="0" w:after="0" w:afterAutospacing="0"/>
        <w:ind w:firstLine="42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（三）政府信息管理。</w:t>
      </w:r>
      <w:r>
        <w:rPr>
          <w:rFonts w:hint="eastAsia" w:ascii="Times New Roman" w:hAnsi="Times New Roman" w:eastAsia="仿宋_GB2312" w:cs="Times New Roman"/>
          <w:color w:val="000000"/>
          <w:kern w:val="0"/>
          <w:sz w:val="32"/>
          <w:szCs w:val="32"/>
          <w:lang w:val="en-US" w:eastAsia="zh-CN"/>
        </w:rPr>
        <w:t>持续</w:t>
      </w:r>
      <w:r>
        <w:rPr>
          <w:rFonts w:hint="eastAsia" w:ascii="Times New Roman" w:hAnsi="Times New Roman" w:eastAsia="仿宋_GB2312" w:cs="Times New Roman"/>
          <w:color w:val="000000"/>
          <w:kern w:val="0"/>
          <w:sz w:val="32"/>
          <w:szCs w:val="32"/>
        </w:rPr>
        <w:t>规范政府信息管理</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严格落实信息“三审”制度，遵循“谁审查、谁负责，谁发布、谁负责，先审查、后发布”和“涉密信息不上网，上网信息不涉密”的原则，对政府信息进行严格管理。</w:t>
      </w:r>
      <w:r>
        <w:rPr>
          <w:rFonts w:hint="eastAsia" w:ascii="Times New Roman" w:hAnsi="Times New Roman" w:eastAsia="仿宋_GB2312" w:cs="Times New Roman"/>
          <w:color w:val="000000"/>
          <w:kern w:val="0"/>
          <w:sz w:val="32"/>
          <w:szCs w:val="32"/>
          <w:lang w:val="en-US" w:eastAsia="zh-CN"/>
        </w:rPr>
        <w:t>按要求对相关文件格式进行完善，确保公开内容规范、完整，及时修订公开制度，按时排查我局信息公开领域中涉及个人隐私的政府信息，切实保障公民的隐私安全，</w:t>
      </w:r>
      <w:r>
        <w:rPr>
          <w:rFonts w:hint="eastAsia" w:ascii="Times New Roman" w:hAnsi="Times New Roman" w:eastAsia="仿宋_GB2312" w:cs="Times New Roman"/>
          <w:color w:val="000000"/>
          <w:kern w:val="0"/>
          <w:sz w:val="32"/>
          <w:szCs w:val="32"/>
        </w:rPr>
        <w:t>全年未发生公民个人隐私</w:t>
      </w:r>
      <w:r>
        <w:rPr>
          <w:rFonts w:hint="eastAsia" w:ascii="Times New Roman" w:hAnsi="Times New Roman" w:eastAsia="仿宋_GB2312" w:cs="Times New Roman"/>
          <w:color w:val="000000"/>
          <w:kern w:val="0"/>
          <w:sz w:val="32"/>
          <w:szCs w:val="32"/>
          <w:lang w:val="en-US" w:eastAsia="zh-CN"/>
        </w:rPr>
        <w:t>泄漏</w:t>
      </w:r>
      <w:r>
        <w:rPr>
          <w:rFonts w:hint="eastAsia" w:ascii="Times New Roman" w:hAnsi="Times New Roman" w:eastAsia="仿宋_GB2312" w:cs="Times New Roman"/>
          <w:color w:val="000000"/>
          <w:kern w:val="0"/>
          <w:sz w:val="32"/>
          <w:szCs w:val="32"/>
        </w:rPr>
        <w:t>情况，未发生信息发布舆情事件</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2024年未发布规范性文件，同时无相关规范性文件清理情况</w:t>
      </w:r>
      <w:r>
        <w:rPr>
          <w:rFonts w:hint="eastAsia" w:ascii="Times New Roman" w:hAnsi="Times New Roman" w:eastAsia="仿宋_GB2312" w:cs="Times New Roman"/>
          <w:color w:val="000000"/>
          <w:kern w:val="0"/>
          <w:sz w:val="32"/>
          <w:szCs w:val="32"/>
        </w:rPr>
        <w:t>。</w:t>
      </w:r>
    </w:p>
    <w:p w14:paraId="61E3BEE9">
      <w:pPr>
        <w:keepNext w:val="0"/>
        <w:keepLines w:val="0"/>
        <w:pageBreakBefore w:val="0"/>
        <w:widowControl/>
        <w:shd w:val="clear"/>
        <w:kinsoku/>
        <w:wordWrap/>
        <w:overflowPunct/>
        <w:topLinePunct w:val="0"/>
        <w:autoSpaceDE/>
        <w:autoSpaceDN/>
        <w:bidi w:val="0"/>
        <w:adjustRightInd/>
        <w:snapToGrid/>
        <w:spacing w:before="0" w:beforeAutospacing="0" w:after="0" w:afterAutospacing="0"/>
        <w:ind w:firstLine="420"/>
        <w:jc w:val="both"/>
        <w:textAlignment w:val="auto"/>
        <w:rPr>
          <w:sz w:val="32"/>
          <w:szCs w:val="32"/>
        </w:rPr>
      </w:pPr>
      <w:r>
        <w:rPr>
          <w:rFonts w:hint="eastAsia" w:ascii="Times New Roman" w:hAnsi="Times New Roman" w:eastAsia="仿宋_GB2312" w:cs="Times New Roman"/>
          <w:color w:val="000000"/>
          <w:kern w:val="0"/>
          <w:sz w:val="32"/>
          <w:szCs w:val="32"/>
        </w:rPr>
        <w:t>（四）政府信息</w:t>
      </w:r>
      <w:r>
        <w:rPr>
          <w:rFonts w:hint="eastAsia" w:ascii="Times New Roman" w:hAnsi="Times New Roman" w:eastAsia="仿宋_GB2312" w:cs="Times New Roman"/>
          <w:color w:val="000000"/>
          <w:kern w:val="0"/>
          <w:sz w:val="32"/>
          <w:szCs w:val="32"/>
          <w:lang w:val="en-US" w:eastAsia="zh-CN"/>
        </w:rPr>
        <w:t>公开</w:t>
      </w:r>
      <w:r>
        <w:rPr>
          <w:rFonts w:hint="eastAsia" w:ascii="Times New Roman" w:hAnsi="Times New Roman" w:eastAsia="仿宋_GB2312" w:cs="Times New Roman"/>
          <w:color w:val="000000"/>
          <w:kern w:val="0"/>
          <w:sz w:val="32"/>
          <w:szCs w:val="32"/>
        </w:rPr>
        <w:t>平台建设</w:t>
      </w:r>
      <w:r>
        <w:rPr>
          <w:rFonts w:hint="eastAsia" w:ascii="Times New Roman" w:hAnsi="Times New Roman" w:eastAsia="仿宋_GB2312" w:cs="Times New Roman"/>
          <w:color w:val="000000"/>
          <w:kern w:val="0"/>
          <w:sz w:val="32"/>
          <w:szCs w:val="32"/>
          <w:lang w:val="en-US" w:eastAsia="zh-CN"/>
        </w:rPr>
        <w:t>情况</w:t>
      </w:r>
      <w:r>
        <w:rPr>
          <w:rFonts w:hint="eastAsia" w:ascii="Times New Roman" w:hAnsi="Times New Roman" w:eastAsia="仿宋_GB2312" w:cs="Times New Roman"/>
          <w:color w:val="000000"/>
          <w:kern w:val="0"/>
          <w:sz w:val="32"/>
          <w:szCs w:val="32"/>
        </w:rPr>
        <w:t>。进一步加强人员配备</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确保</w:t>
      </w:r>
      <w:r>
        <w:rPr>
          <w:rFonts w:hint="eastAsia" w:ascii="Times New Roman" w:hAnsi="Times New Roman" w:eastAsia="仿宋_GB2312" w:cs="Times New Roman"/>
          <w:color w:val="000000"/>
          <w:kern w:val="0"/>
          <w:sz w:val="32"/>
          <w:szCs w:val="32"/>
        </w:rPr>
        <w:t>政务公开</w:t>
      </w:r>
      <w:r>
        <w:rPr>
          <w:rFonts w:hint="eastAsia" w:ascii="Times New Roman" w:hAnsi="Times New Roman" w:eastAsia="仿宋_GB2312" w:cs="Times New Roman"/>
          <w:color w:val="000000"/>
          <w:kern w:val="0"/>
          <w:sz w:val="32"/>
          <w:szCs w:val="32"/>
          <w:lang w:val="en-US" w:eastAsia="zh-CN"/>
        </w:rPr>
        <w:t>工作</w:t>
      </w:r>
      <w:r>
        <w:rPr>
          <w:rFonts w:hint="eastAsia" w:ascii="Times New Roman" w:hAnsi="Times New Roman" w:eastAsia="仿宋_GB2312" w:cs="Times New Roman"/>
          <w:color w:val="000000"/>
          <w:kern w:val="0"/>
          <w:sz w:val="32"/>
          <w:szCs w:val="32"/>
        </w:rPr>
        <w:t>专人负责，对政务公开的具体板块内容详细学习，</w:t>
      </w:r>
      <w:r>
        <w:rPr>
          <w:rFonts w:hint="eastAsia" w:ascii="Times New Roman" w:hAnsi="Times New Roman" w:eastAsia="仿宋_GB2312" w:cs="Times New Roman"/>
          <w:color w:val="000000"/>
          <w:kern w:val="0"/>
          <w:sz w:val="32"/>
          <w:szCs w:val="32"/>
          <w:lang w:val="en-US" w:eastAsia="zh-CN"/>
        </w:rPr>
        <w:t>不断</w:t>
      </w:r>
      <w:r>
        <w:rPr>
          <w:rFonts w:hint="eastAsia" w:ascii="Times New Roman" w:hAnsi="Times New Roman" w:eastAsia="仿宋_GB2312" w:cs="Times New Roman"/>
          <w:color w:val="000000"/>
          <w:kern w:val="0"/>
          <w:sz w:val="32"/>
          <w:szCs w:val="32"/>
        </w:rPr>
        <w:t>提升工作人员的能力和专业水平。</w:t>
      </w:r>
      <w:r>
        <w:rPr>
          <w:rFonts w:hint="eastAsia" w:ascii="Times New Roman" w:hAnsi="Times New Roman" w:eastAsia="仿宋_GB2312" w:cs="Times New Roman"/>
          <w:color w:val="000000"/>
          <w:kern w:val="0"/>
          <w:sz w:val="32"/>
          <w:szCs w:val="32"/>
          <w:lang w:val="en-US" w:eastAsia="zh-CN"/>
        </w:rPr>
        <w:t>及时回应热线平台信息，2024年度通过热线平台解决群众数据咨询诉求23条，办理情况均获得群众满意。</w:t>
      </w:r>
    </w:p>
    <w:p w14:paraId="527C7BB0">
      <w:pPr>
        <w:keepNext w:val="0"/>
        <w:keepLines w:val="0"/>
        <w:pageBreakBefore w:val="0"/>
        <w:widowControl/>
        <w:shd w:val="clear"/>
        <w:kinsoku/>
        <w:wordWrap/>
        <w:overflowPunct/>
        <w:topLinePunct w:val="0"/>
        <w:autoSpaceDE/>
        <w:autoSpaceDN/>
        <w:bidi w:val="0"/>
        <w:adjustRightInd/>
        <w:snapToGrid/>
        <w:spacing w:before="0" w:beforeAutospacing="0" w:after="0" w:afterAutospacing="0"/>
        <w:ind w:firstLine="42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五</w:t>
      </w:r>
      <w:r>
        <w:rPr>
          <w:rFonts w:hint="eastAsia" w:ascii="Times New Roman" w:hAnsi="Times New Roman" w:eastAsia="仿宋_GB2312" w:cs="Times New Roman"/>
          <w:color w:val="000000"/>
          <w:kern w:val="0"/>
          <w:sz w:val="32"/>
          <w:szCs w:val="32"/>
        </w:rPr>
        <w:t>）监督保障。我局高度重视政府信息公开工作，及时调整政务公开工作领导小组，确定专人负责此项工作的联络、协调和日常事务，将政府信息公开列入本局年度工作要点，积极组织参加县级政务公开工作业务培训会和政务公开集中办公工作，持续加强与县政务公开办、上级主管部门等交流学</w:t>
      </w:r>
      <w:bookmarkStart w:id="0" w:name="_GoBack"/>
      <w:bookmarkEnd w:id="0"/>
      <w:r>
        <w:rPr>
          <w:rFonts w:hint="eastAsia" w:ascii="Times New Roman" w:hAnsi="Times New Roman" w:eastAsia="仿宋_GB2312" w:cs="Times New Roman"/>
          <w:color w:val="000000"/>
          <w:kern w:val="0"/>
          <w:sz w:val="32"/>
          <w:szCs w:val="32"/>
        </w:rPr>
        <w:t>习。今年我局召开2次政务公开工作培训会，并于9月19日在县法治广场举办以“数览发展 向新而行”为主题的第十五届“中国统计开放日”宣传活动，向社会公众宣传新修订《中华人民共和国统计法》等内容。积极落实整改县级及上级主管部门反馈的政务公开问题清单，2024年，县统计局未开展社会评议，无因政府信息公开发生的责任追究情况。</w:t>
      </w:r>
    </w:p>
    <w:p w14:paraId="23075BC7">
      <w:pPr>
        <w:widowControl/>
        <w:shd w:val="clear"/>
        <w:spacing w:before="0" w:beforeAutospacing="0" w:after="0" w:afterAutospacing="0"/>
        <w:ind w:firstLine="420"/>
        <w:jc w:val="both"/>
        <w:rPr>
          <w:rFonts w:ascii="宋体" w:hAnsi="宋体" w:eastAsia="宋体" w:cs="宋体"/>
          <w:color w:val="000000"/>
          <w:kern w:val="0"/>
          <w:sz w:val="32"/>
          <w:szCs w:val="32"/>
          <w:lang w:val="en-US" w:eastAsia="zh-CN" w:bidi="ar-SA"/>
        </w:rPr>
      </w:pPr>
      <w:r>
        <w:rPr>
          <w:rFonts w:hint="eastAsia" w:ascii="宋体" w:hAnsi="宋体" w:eastAsia="宋体" w:cs="宋体"/>
          <w:b/>
          <w:color w:val="000000"/>
          <w:kern w:val="0"/>
          <w:sz w:val="32"/>
          <w:szCs w:val="32"/>
          <w:shd w:val="clear" w:color="auto" w:fill="FFFFFF"/>
          <w:lang w:val="en-US" w:eastAsia="zh-CN" w:bidi="ar-SA"/>
        </w:rPr>
        <w:t>二、主动公开政府信息情况</w:t>
      </w:r>
    </w:p>
    <w:tbl>
      <w:tblPr>
        <w:tblStyle w:val="3"/>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shd w:val="clea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shd w:val="clea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shd w:val="clea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shd w:val="clea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shd w:val="clea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shd w:val="clea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shd w:val="clea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shd w:val="clear"/>
              <w:jc w:val="center"/>
              <w:rPr>
                <w:rFonts w:hint="eastAsia" w:ascii="宋体" w:hAnsi="宋体" w:eastAsia="宋体" w:cs="宋体"/>
                <w:color w:val="000000"/>
                <w:kern w:val="0"/>
                <w:sz w:val="24"/>
                <w:szCs w:val="24"/>
                <w:lang w:val="en-US" w:eastAsia="zh-CN"/>
              </w:rPr>
            </w:pPr>
            <w:r>
              <w:rPr>
                <w:rFonts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shd w:val="clea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shd w:val="clea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shd w:val="clea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shd w:val="clea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shd w:val="clea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1149A0CB">
      <w:pPr>
        <w:widowControl/>
        <w:shd w:val="clear"/>
        <w:spacing w:before="0" w:beforeAutospacing="0" w:after="0" w:afterAutospacing="0"/>
        <w:jc w:val="both"/>
        <w:rPr>
          <w:rFonts w:ascii="宋体" w:hAnsi="宋体" w:eastAsia="宋体" w:cs="宋体"/>
          <w:b/>
          <w:color w:val="000000"/>
          <w:kern w:val="0"/>
          <w:sz w:val="32"/>
          <w:szCs w:val="32"/>
          <w:shd w:val="clear" w:color="auto" w:fill="FFFFFF"/>
          <w:lang w:val="en-US" w:eastAsia="zh-CN" w:bidi="ar-SA"/>
        </w:rPr>
      </w:pPr>
      <w:r>
        <w:rPr>
          <w:rFonts w:hint="eastAsia" w:ascii="宋体" w:hAnsi="宋体" w:eastAsia="宋体" w:cs="宋体"/>
          <w:b/>
          <w:color w:val="000000"/>
          <w:kern w:val="0"/>
          <w:sz w:val="32"/>
          <w:szCs w:val="32"/>
          <w:shd w:val="clear" w:color="auto" w:fill="FFFFFF"/>
          <w:lang w:val="en-US" w:eastAsia="zh-CN" w:bidi="ar-SA"/>
        </w:rPr>
        <w:t>三、收到和处理政府信息公开申请情况</w:t>
      </w:r>
    </w:p>
    <w:tbl>
      <w:tblPr>
        <w:tblStyle w:val="3"/>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shd w:val="clear"/>
              <w:jc w:val="left"/>
              <w:rPr>
                <w:rFonts w:ascii="仿宋_GB2312" w:hAnsi="Times New Roman" w:eastAsia="仿宋_GB2312" w:cs="Times New Roman"/>
                <w:color w:val="000000"/>
                <w:sz w:val="24"/>
                <w:szCs w:val="24"/>
              </w:rPr>
            </w:pPr>
            <w:r>
              <w:rPr>
                <w:rFonts w:ascii="楷体" w:hAnsi="楷体" w:eastAsia="楷体" w:cs="楷体"/>
                <w:color w:val="000000"/>
                <w:kern w:val="0"/>
                <w:sz w:val="24"/>
                <w:szCs w:val="24"/>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shd w:val="clea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shd w:val="clea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shd w:val="clea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商业</w:t>
            </w:r>
          </w:p>
          <w:p w14:paraId="0BC1677C">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科研</w:t>
            </w:r>
          </w:p>
          <w:p w14:paraId="38A86C81">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shd w:val="clear"/>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D3981A">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1</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958CC7">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4EEAAAE0">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1</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shd w:val="clea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（二）部分公开</w:t>
            </w:r>
            <w:r>
              <w:rPr>
                <w:rFonts w:hint="eastAsia" w:ascii="楷体" w:hAnsi="楷体" w:eastAsia="楷体" w:cs="楷体"/>
                <w:color w:val="000000"/>
                <w:kern w:val="0"/>
                <w:sz w:val="24"/>
                <w:szCs w:val="24"/>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6E38A3">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shd w:val="clea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1E04173">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B2F459">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1FA665">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D6D6DC">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CDABAE">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5FC16F">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93F56B1">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8108FCD">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68BF4">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04D534">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A27B1">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E90E4F">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0DD2B4">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F93368">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7B153A95">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1530BB">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6E5FC1">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41957D">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75436">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F236F8">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480BFD">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06730AE">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66C3F">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E75C91">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E859A4">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E504E4">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816EAF">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2152D">
            <w:pPr>
              <w:widowControl/>
              <w:shd w:val="clear"/>
              <w:jc w:val="center"/>
              <w:rPr>
                <w:rFonts w:hint="default"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B0472EA">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06CAD4">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6F07F8">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B4F7C5">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2E90A5">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84FCBF">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148D0C">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13AE2CF">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EAD347">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FCC020">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6933EB">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FD60A7">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6295D1">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BF151B">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8346008">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2E70E5">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3116A3">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AACBC0">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E1DA5A">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1037B1">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86A25A">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3C86DC6">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E893E1">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2C02C">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86283C">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C8DED6">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EF1E5">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0D515D">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shd w:val="clea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292DE6F4">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902E57">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B29151">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41A76F">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D9FB61">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A0D699">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588906">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5DA51929">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400C24">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8201B6">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D09E7F">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63A205">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C2E964">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BDC57D">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489E755E">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A74C3">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C01031">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2A9A30">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0485">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948F0D">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BA5E11">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shd w:val="clea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3FED11F">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296926">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1C2B593B">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E3687B">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523DB100">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3183CF">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23ECFD">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4A46C">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F1BD3E">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918A0A">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2352DA">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41FD677F">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20E8CE">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CCFC1E">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9BAA0F">
            <w:pPr>
              <w:widowControl/>
              <w:shd w:val="clear"/>
              <w:jc w:val="center"/>
              <w:rPr>
                <w:rFonts w:hint="eastAsia" w:ascii="仿宋_GB2312" w:hAnsi="Times New Roman" w:eastAsia="仿宋_GB2312" w:cs="Times New Roman"/>
                <w:color w:val="000000"/>
                <w:sz w:val="24"/>
                <w:szCs w:val="24"/>
                <w:lang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49EE88">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E26230">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53654">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shd w:val="clea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shd w:val="clea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shd w:val="clea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501E8FC">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14950F7">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shd w:val="clea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shd w:val="clea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BB5735">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shd w:val="clea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shd w:val="clea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E552F3">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shd w:val="clea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shd w:val="clea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8DC979">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shd w:val="clea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F75AB5">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1</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shd w:val="clear"/>
              <w:jc w:val="left"/>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widowControl/>
              <w:shd w:val="clear"/>
              <w:jc w:val="center"/>
              <w:rPr>
                <w:rFonts w:ascii="仿宋_GB2312" w:hAnsi="Times New Roman" w:eastAsia="仿宋_GB2312" w:cs="Times New Roman"/>
                <w:color w:val="000000"/>
                <w:sz w:val="24"/>
                <w:szCs w:val="24"/>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widowControl/>
              <w:shd w:val="clear"/>
              <w:jc w:val="center"/>
              <w:rPr>
                <w:rFonts w:hint="eastAsia" w:ascii="仿宋_GB2312" w:hAnsi="Times New Roman" w:eastAsia="仿宋_GB2312" w:cs="Times New Roman"/>
                <w:color w:val="000000"/>
                <w:sz w:val="24"/>
                <w:szCs w:val="24"/>
                <w:lang w:val="en-US" w:eastAsia="zh-CN"/>
              </w:rPr>
            </w:pPr>
            <w:r>
              <w:rPr>
                <w:rFonts w:hint="eastAsia" w:ascii="Calibri" w:hAnsi="Calibri" w:eastAsia="仿宋_GB2312" w:cs="Calibri"/>
                <w:color w:val="000000"/>
                <w:kern w:val="0"/>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2046F7">
            <w:pPr>
              <w:shd w:val="clea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41BF3CA6">
      <w:pPr>
        <w:widowControl/>
        <w:shd w:val="clear"/>
        <w:jc w:val="center"/>
        <w:rPr>
          <w:rFonts w:ascii="宋体" w:hAnsi="宋体" w:eastAsia="宋体" w:cs="宋体"/>
          <w:color w:val="000000"/>
          <w:sz w:val="32"/>
          <w:szCs w:val="32"/>
        </w:rPr>
      </w:pPr>
    </w:p>
    <w:p w14:paraId="765DC666">
      <w:pPr>
        <w:widowControl/>
        <w:shd w:val="clear"/>
        <w:spacing w:before="0" w:beforeAutospacing="0" w:after="0" w:afterAutospacing="0"/>
        <w:ind w:firstLine="420"/>
        <w:jc w:val="both"/>
        <w:rPr>
          <w:rFonts w:ascii="宋体" w:hAnsi="宋体" w:eastAsia="宋体" w:cs="宋体"/>
          <w:color w:val="000000"/>
          <w:kern w:val="0"/>
          <w:sz w:val="32"/>
          <w:szCs w:val="32"/>
          <w:lang w:val="en-US" w:eastAsia="zh-CN" w:bidi="ar-SA"/>
        </w:rPr>
      </w:pPr>
      <w:r>
        <w:rPr>
          <w:rFonts w:hint="eastAsia" w:ascii="宋体" w:hAnsi="宋体" w:eastAsia="宋体" w:cs="宋体"/>
          <w:b/>
          <w:color w:val="000000"/>
          <w:kern w:val="0"/>
          <w:sz w:val="32"/>
          <w:szCs w:val="32"/>
          <w:shd w:val="clear" w:color="auto" w:fill="FFFFFF"/>
          <w:lang w:val="en-US" w:eastAsia="zh-CN" w:bidi="ar-SA"/>
        </w:rPr>
        <w:t>四、政府信息公开行政复议、行政诉讼情况</w:t>
      </w:r>
    </w:p>
    <w:p w14:paraId="29B7540F">
      <w:pPr>
        <w:widowControl/>
        <w:shd w:val="clear"/>
        <w:jc w:val="center"/>
        <w:rPr>
          <w:rFonts w:ascii="宋体" w:hAnsi="宋体" w:eastAsia="宋体" w:cs="宋体"/>
          <w:color w:val="000000"/>
          <w:sz w:val="32"/>
          <w:szCs w:val="32"/>
        </w:rPr>
      </w:pP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结果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其他</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尚未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shd w:val="clea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shd w:val="clea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shd w:val="clea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shd w:val="clea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shd w:val="clea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结果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结果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其他</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尚未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结果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结果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其他</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尚未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shd w:val="clear"/>
              <w:jc w:val="center"/>
              <w:rPr>
                <w:rFonts w:ascii="仿宋_GB2312" w:hAnsi="Times New Roman" w:eastAsia="仿宋_GB2312" w:cs="Times New Roman"/>
                <w:color w:val="000000"/>
                <w:sz w:val="24"/>
                <w:szCs w:val="24"/>
              </w:rPr>
            </w:pPr>
            <w:r>
              <w:rPr>
                <w:rFonts w:hint="eastAsia" w:ascii="宋体" w:hAnsi="宋体" w:eastAsia="宋体" w:cs="宋体"/>
                <w:color w:val="000000"/>
                <w:kern w:val="0"/>
                <w:sz w:val="24"/>
                <w:szCs w:val="24"/>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shd w:val="clear"/>
              <w:jc w:val="center"/>
              <w:rPr>
                <w:rFonts w:hint="eastAsia" w:ascii="仿宋_GB2312" w:hAnsi="Times New Roman" w:eastAsia="黑体" w:cs="Times New Roman"/>
                <w:color w:val="000000"/>
                <w:sz w:val="24"/>
                <w:szCs w:val="24"/>
                <w:lang w:val="en-US" w:eastAsia="zh-CN"/>
              </w:rPr>
            </w:pPr>
            <w:r>
              <w:rPr>
                <w:rFonts w:hint="eastAsia" w:ascii="黑体" w:hAnsi="宋体" w:eastAsia="黑体" w:cs="黑体"/>
                <w:color w:val="000000"/>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shd w:val="clear"/>
              <w:jc w:val="center"/>
              <w:rPr>
                <w:rFonts w:ascii="仿宋_GB2312" w:hAnsi="Times New Roman" w:eastAsia="仿宋_GB2312" w:cs="Times New Roman"/>
                <w:color w:val="000000"/>
                <w:sz w:val="24"/>
                <w:szCs w:val="24"/>
              </w:rPr>
            </w:pPr>
            <w:r>
              <w:rPr>
                <w:rFonts w:hint="eastAsia" w:ascii="黑体" w:hAnsi="宋体" w:eastAsia="黑体" w:cs="黑体"/>
                <w:color w:val="000000"/>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shd w:val="clear"/>
              <w:jc w:val="center"/>
              <w:rPr>
                <w:rFonts w:hint="eastAsia" w:ascii="仿宋_GB2312" w:hAnsi="Times New Roman" w:eastAsia="黑体" w:cs="Times New Roman"/>
                <w:color w:val="000000"/>
                <w:sz w:val="24"/>
                <w:szCs w:val="24"/>
                <w:lang w:val="en-US" w:eastAsia="zh-CN"/>
              </w:rPr>
            </w:pPr>
            <w:r>
              <w:rPr>
                <w:rFonts w:hint="eastAsia" w:ascii="黑体" w:hAnsi="宋体" w:eastAsia="黑体" w:cs="黑体"/>
                <w:color w:val="000000"/>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shd w:val="clear"/>
              <w:jc w:val="center"/>
              <w:rPr>
                <w:rFonts w:ascii="仿宋_GB2312" w:hAnsi="Times New Roman" w:eastAsia="仿宋_GB2312" w:cs="Times New Roman"/>
                <w:color w:val="000000"/>
                <w:sz w:val="24"/>
                <w:szCs w:val="24"/>
              </w:rPr>
            </w:pPr>
            <w:r>
              <w:rPr>
                <w:rFonts w:hint="eastAsia" w:ascii="黑体" w:hAnsi="宋体" w:eastAsia="黑体" w:cs="黑体"/>
                <w:color w:val="000000"/>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shd w:val="clear"/>
              <w:jc w:val="center"/>
              <w:rPr>
                <w:rFonts w:ascii="仿宋_GB2312" w:hAnsi="Times New Roman" w:eastAsia="仿宋_GB2312" w:cs="Times New Roman"/>
                <w:color w:val="000000"/>
                <w:sz w:val="24"/>
                <w:szCs w:val="24"/>
              </w:rPr>
            </w:pPr>
            <w:r>
              <w:rPr>
                <w:rFonts w:hint="eastAsia" w:ascii="黑体" w:hAnsi="宋体" w:eastAsia="黑体" w:cs="黑体"/>
                <w:color w:val="000000"/>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shd w:val="clear"/>
              <w:jc w:val="center"/>
              <w:rPr>
                <w:rFonts w:ascii="仿宋_GB2312" w:hAnsi="Times New Roman" w:eastAsia="仿宋_GB2312" w:cs="Times New Roman"/>
                <w:color w:val="000000"/>
                <w:sz w:val="24"/>
                <w:szCs w:val="24"/>
              </w:rPr>
            </w:pPr>
            <w:r>
              <w:rPr>
                <w:rFonts w:hint="eastAsia" w:ascii="黑体" w:hAnsi="宋体" w:eastAsia="黑体" w:cs="黑体"/>
                <w:color w:val="000000"/>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shd w:val="clear"/>
              <w:jc w:val="center"/>
              <w:rPr>
                <w:rFonts w:hint="eastAsia" w:ascii="仿宋_GB2312" w:hAnsi="Times New Roman" w:eastAsia="黑体" w:cs="Times New Roman"/>
                <w:color w:val="000000"/>
                <w:sz w:val="24"/>
                <w:szCs w:val="24"/>
                <w:lang w:val="en-US" w:eastAsia="zh-CN"/>
              </w:rPr>
            </w:pPr>
            <w:r>
              <w:rPr>
                <w:rFonts w:hint="eastAsia" w:ascii="黑体" w:hAnsi="宋体" w:eastAsia="黑体" w:cs="黑体"/>
                <w:color w:val="000000"/>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shd w:val="clear"/>
              <w:jc w:val="center"/>
              <w:rPr>
                <w:rFonts w:ascii="仿宋_GB2312" w:hAnsi="Times New Roman" w:eastAsia="仿宋_GB2312" w:cs="Times New Roman"/>
                <w:color w:val="000000"/>
                <w:sz w:val="24"/>
                <w:szCs w:val="24"/>
              </w:rPr>
            </w:pPr>
            <w:r>
              <w:rPr>
                <w:rFonts w:hint="eastAsia" w:ascii="黑体" w:hAnsi="宋体" w:eastAsia="黑体" w:cs="黑体"/>
                <w:color w:val="000000"/>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shd w:val="clear"/>
              <w:jc w:val="center"/>
              <w:rPr>
                <w:rFonts w:hint="eastAsia" w:ascii="仿宋_GB2312" w:hAnsi="Times New Roman" w:eastAsia="仿宋_GB2312" w:cs="Times New Roman"/>
                <w:color w:val="000000"/>
                <w:sz w:val="24"/>
                <w:szCs w:val="24"/>
                <w:lang w:val="en-US" w:eastAsia="zh-CN"/>
              </w:rPr>
            </w:pPr>
            <w:r>
              <w:rPr>
                <w:rFonts w:hint="eastAsia" w:ascii="黑体" w:hAnsi="宋体" w:eastAsia="黑体" w:cs="黑体"/>
                <w:color w:val="000000"/>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shd w:val="clear"/>
              <w:jc w:val="center"/>
              <w:rPr>
                <w:rFonts w:ascii="仿宋_GB2312" w:hAnsi="Times New Roman" w:eastAsia="仿宋_GB2312" w:cs="Times New Roman"/>
                <w:color w:val="000000"/>
                <w:sz w:val="24"/>
                <w:szCs w:val="24"/>
              </w:rPr>
            </w:pPr>
            <w:r>
              <w:rPr>
                <w:rFonts w:hint="eastAsia" w:ascii="黑体" w:hAnsi="宋体" w:eastAsia="黑体" w:cs="黑体"/>
                <w:color w:val="000000"/>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shd w:val="clear"/>
              <w:jc w:val="center"/>
              <w:rPr>
                <w:rFonts w:hint="eastAsia" w:ascii="仿宋_GB2312" w:hAnsi="Times New Roman" w:eastAsia="黑体" w:cs="Times New Roman"/>
                <w:color w:val="000000"/>
                <w:sz w:val="24"/>
                <w:szCs w:val="24"/>
                <w:lang w:val="en-US" w:eastAsia="zh-CN"/>
              </w:rPr>
            </w:pPr>
            <w:r>
              <w:rPr>
                <w:rFonts w:hint="eastAsia" w:ascii="黑体" w:hAnsi="宋体" w:eastAsia="黑体" w:cs="黑体"/>
                <w:color w:val="000000"/>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shd w:val="clear"/>
              <w:jc w:val="center"/>
              <w:rPr>
                <w:rFonts w:hint="eastAsia" w:ascii="仿宋_GB2312" w:hAnsi="Times New Roman" w:eastAsia="黑体" w:cs="Times New Roman"/>
                <w:color w:val="000000"/>
                <w:sz w:val="24"/>
                <w:szCs w:val="24"/>
                <w:lang w:val="en-US" w:eastAsia="zh-CN"/>
              </w:rPr>
            </w:pPr>
            <w:r>
              <w:rPr>
                <w:rFonts w:hint="eastAsia" w:ascii="黑体" w:hAnsi="宋体" w:eastAsia="黑体" w:cs="黑体"/>
                <w:color w:val="000000"/>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shd w:val="clear"/>
              <w:jc w:val="center"/>
              <w:rPr>
                <w:rFonts w:ascii="仿宋_GB2312" w:hAnsi="Times New Roman" w:eastAsia="仿宋_GB2312" w:cs="Times New Roman"/>
                <w:color w:val="000000"/>
                <w:sz w:val="24"/>
                <w:szCs w:val="24"/>
              </w:rPr>
            </w:pPr>
            <w:r>
              <w:rPr>
                <w:rFonts w:hint="eastAsia" w:ascii="黑体" w:hAnsi="宋体" w:eastAsia="黑体" w:cs="黑体"/>
                <w:color w:val="000000"/>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shd w:val="clear"/>
              <w:jc w:val="center"/>
              <w:rPr>
                <w:rFonts w:hint="eastAsia" w:ascii="仿宋_GB2312" w:hAnsi="Times New Roman" w:eastAsia="黑体" w:cs="Times New Roman"/>
                <w:color w:val="000000"/>
                <w:sz w:val="24"/>
                <w:szCs w:val="24"/>
                <w:lang w:val="en-US" w:eastAsia="zh-CN"/>
              </w:rPr>
            </w:pPr>
            <w:r>
              <w:rPr>
                <w:rFonts w:hint="eastAsia" w:ascii="黑体" w:hAnsi="宋体" w:eastAsia="黑体" w:cs="黑体"/>
                <w:color w:val="000000"/>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shd w:val="clea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7C70A8B0">
      <w:pPr>
        <w:widowControl/>
        <w:shd w:val="clear"/>
        <w:spacing w:before="0" w:beforeAutospacing="0" w:after="0" w:afterAutospacing="0"/>
        <w:ind w:firstLine="420"/>
        <w:jc w:val="both"/>
        <w:rPr>
          <w:rFonts w:hint="eastAsia" w:ascii="宋体" w:hAnsi="宋体" w:eastAsia="宋体" w:cs="宋体"/>
          <w:b/>
          <w:color w:val="000000"/>
          <w:kern w:val="0"/>
          <w:sz w:val="32"/>
          <w:szCs w:val="32"/>
          <w:shd w:val="clear" w:color="auto" w:fill="FFFFFF"/>
          <w:lang w:val="en-US" w:eastAsia="zh-CN" w:bidi="ar-SA"/>
        </w:rPr>
      </w:pPr>
    </w:p>
    <w:p w14:paraId="178466E7">
      <w:pPr>
        <w:widowControl/>
        <w:shd w:val="clear"/>
        <w:spacing w:before="0" w:beforeAutospacing="0" w:after="0" w:afterAutospacing="0"/>
        <w:ind w:firstLine="420"/>
        <w:jc w:val="both"/>
        <w:rPr>
          <w:rFonts w:ascii="宋体" w:hAnsi="宋体" w:eastAsia="宋体" w:cs="宋体"/>
          <w:color w:val="000000"/>
          <w:kern w:val="0"/>
          <w:sz w:val="32"/>
          <w:szCs w:val="32"/>
          <w:lang w:val="en-US" w:eastAsia="zh-CN" w:bidi="ar-SA"/>
        </w:rPr>
      </w:pPr>
      <w:r>
        <w:rPr>
          <w:rFonts w:hint="eastAsia" w:ascii="宋体" w:hAnsi="宋体" w:eastAsia="宋体" w:cs="宋体"/>
          <w:b/>
          <w:color w:val="000000"/>
          <w:kern w:val="0"/>
          <w:sz w:val="32"/>
          <w:szCs w:val="32"/>
          <w:shd w:val="clear" w:color="auto" w:fill="FFFFFF"/>
          <w:lang w:val="en-US" w:eastAsia="zh-CN" w:bidi="ar-SA"/>
        </w:rPr>
        <w:t>五、存在的主要问题及改进情况</w:t>
      </w:r>
    </w:p>
    <w:p w14:paraId="44AF379B">
      <w:pPr>
        <w:widowControl/>
        <w:shd w:val="clear"/>
        <w:spacing w:before="0" w:beforeAutospacing="0" w:after="0" w:afterAutospacing="0"/>
        <w:ind w:firstLine="420"/>
        <w:jc w:val="both"/>
        <w:rPr>
          <w:rFonts w:hint="eastAsia" w:ascii="宋体" w:hAnsi="宋体" w:eastAsia="宋体" w:cs="宋体"/>
          <w:color w:val="000000"/>
          <w:kern w:val="0"/>
          <w:sz w:val="32"/>
          <w:szCs w:val="32"/>
          <w:shd w:val="clear" w:color="auto" w:fill="FFFFFF"/>
          <w:lang w:val="en-US" w:eastAsia="zh-CN" w:bidi="ar-SA"/>
        </w:rPr>
      </w:pPr>
      <w:r>
        <w:rPr>
          <w:rFonts w:hint="eastAsia" w:ascii="宋体" w:hAnsi="宋体" w:eastAsia="宋体" w:cs="宋体"/>
          <w:color w:val="000000"/>
          <w:kern w:val="0"/>
          <w:sz w:val="32"/>
          <w:szCs w:val="32"/>
          <w:shd w:val="clear" w:color="auto" w:fill="FFFFFF"/>
          <w:lang w:val="en-US" w:eastAsia="zh-CN" w:bidi="ar-SA"/>
        </w:rPr>
        <w:t>上年改进情况：针对上年度“两化”栏目公开完整性、及时性需进一步提升等问题，我局积极向县政务公开办和市统计局学习，不断提高业务人员政务公开工作能力；根据工作要求和工作进展情况，及时更新完善“两化”栏目中涉及的信息，确保“两化”栏目中内容应公开尽公开，充分满足社会公众对统计数据和统计工作开展情况的需求。</w:t>
      </w:r>
    </w:p>
    <w:p w14:paraId="37B36DFE">
      <w:pPr>
        <w:widowControl/>
        <w:shd w:val="clear"/>
        <w:spacing w:before="0" w:beforeAutospacing="0" w:after="0" w:afterAutospacing="0"/>
        <w:ind w:firstLine="420"/>
        <w:jc w:val="both"/>
        <w:rPr>
          <w:rFonts w:hint="eastAsia" w:ascii="宋体" w:hAnsi="宋体" w:eastAsia="宋体" w:cs="宋体"/>
          <w:color w:val="000000"/>
          <w:kern w:val="0"/>
          <w:sz w:val="32"/>
          <w:szCs w:val="32"/>
          <w:shd w:val="clear" w:color="auto" w:fill="FFFFFF"/>
          <w:lang w:val="en-US" w:eastAsia="zh-CN" w:bidi="ar-SA"/>
        </w:rPr>
      </w:pPr>
      <w:r>
        <w:rPr>
          <w:rFonts w:hint="eastAsia" w:ascii="宋体" w:hAnsi="宋体" w:eastAsia="宋体" w:cs="宋体"/>
          <w:color w:val="000000"/>
          <w:kern w:val="0"/>
          <w:sz w:val="32"/>
          <w:szCs w:val="32"/>
          <w:shd w:val="clear" w:color="auto" w:fill="FFFFFF"/>
          <w:lang w:val="en-US" w:eastAsia="zh-CN" w:bidi="ar-SA"/>
        </w:rPr>
        <w:t>本年存在问题：我局政府信息公开内容主要是统计数据、统计数据分析解读等信息，对于统计工作推动、统计文化建设等方面的动态类信息较少，公开形式还不够丰富。</w:t>
      </w:r>
    </w:p>
    <w:p w14:paraId="4356A956">
      <w:pPr>
        <w:widowControl/>
        <w:shd w:val="clear"/>
        <w:spacing w:before="0" w:beforeAutospacing="0" w:after="0" w:afterAutospacing="0"/>
        <w:ind w:firstLine="420"/>
        <w:jc w:val="both"/>
        <w:rPr>
          <w:rFonts w:hint="eastAsia" w:ascii="宋体" w:hAnsi="宋体" w:eastAsia="宋体" w:cs="宋体"/>
          <w:color w:val="000000"/>
          <w:kern w:val="0"/>
          <w:sz w:val="32"/>
          <w:szCs w:val="32"/>
          <w:shd w:val="clear" w:color="auto" w:fill="FFFFFF"/>
          <w:lang w:val="en-US" w:eastAsia="zh-CN" w:bidi="ar-SA"/>
        </w:rPr>
      </w:pPr>
      <w:r>
        <w:rPr>
          <w:rFonts w:hint="eastAsia" w:ascii="宋体" w:hAnsi="宋体" w:eastAsia="宋体" w:cs="宋体"/>
          <w:color w:val="000000"/>
          <w:kern w:val="0"/>
          <w:sz w:val="32"/>
          <w:szCs w:val="32"/>
          <w:shd w:val="clear" w:color="auto" w:fill="FFFFFF"/>
          <w:lang w:val="en-US" w:eastAsia="zh-CN" w:bidi="ar-SA"/>
        </w:rPr>
        <w:t>下一步改进举措：一是不断加大统计信息公开数量和质量，挖掘统计工作特色，在公开统计数据的同时，公开统计工作推动与开展情况的相关信息，帮助社会公众对我县统计工作有更加全面的了解；二是进一步加强“统计知识进党校、进社区、进企业”等宣传活动，不断丰富线上线下公开形式，多措并举服务社会公众统计信息需求，确保高质量完成好政府信息公开工作。</w:t>
      </w:r>
    </w:p>
    <w:p w14:paraId="50B92585">
      <w:pPr>
        <w:widowControl/>
        <w:shd w:val="clear"/>
        <w:spacing w:before="0" w:beforeAutospacing="0" w:after="0" w:afterAutospacing="0"/>
        <w:ind w:firstLine="420"/>
        <w:jc w:val="both"/>
        <w:rPr>
          <w:rFonts w:ascii="宋体" w:hAnsi="宋体" w:eastAsia="宋体" w:cs="宋体"/>
          <w:color w:val="000000"/>
          <w:kern w:val="0"/>
          <w:sz w:val="32"/>
          <w:szCs w:val="32"/>
          <w:lang w:val="en-US" w:eastAsia="zh-CN" w:bidi="ar-SA"/>
        </w:rPr>
      </w:pPr>
      <w:r>
        <w:rPr>
          <w:rFonts w:hint="eastAsia" w:ascii="宋体" w:hAnsi="宋体" w:eastAsia="宋体" w:cs="宋体"/>
          <w:b/>
          <w:color w:val="000000"/>
          <w:kern w:val="0"/>
          <w:sz w:val="32"/>
          <w:szCs w:val="32"/>
          <w:shd w:val="clear" w:color="auto" w:fill="FFFFFF"/>
          <w:lang w:val="en-US" w:eastAsia="zh-CN" w:bidi="ar-SA"/>
        </w:rPr>
        <w:t>六、其他需要报告的事项</w:t>
      </w:r>
    </w:p>
    <w:p w14:paraId="1EE533B1">
      <w:pPr>
        <w:widowControl/>
        <w:shd w:val="clear"/>
        <w:spacing w:before="0" w:beforeAutospacing="0" w:after="0" w:afterAutospacing="0"/>
        <w:ind w:firstLine="420"/>
        <w:jc w:val="left"/>
        <w:rPr>
          <w:sz w:val="32"/>
          <w:szCs w:val="32"/>
        </w:rPr>
      </w:pPr>
      <w:r>
        <w:rPr>
          <w:rFonts w:hint="eastAsia" w:ascii="宋体" w:hAnsi="宋体" w:eastAsia="宋体" w:cs="宋体"/>
          <w:color w:val="000000"/>
          <w:kern w:val="0"/>
          <w:sz w:val="32"/>
          <w:szCs w:val="32"/>
          <w:shd w:val="clear" w:color="auto" w:fill="FFFFFF"/>
          <w:lang w:val="en-US" w:eastAsia="zh-CN" w:bidi="ar-SA"/>
        </w:rPr>
        <w:t>按照《国务院办公厅关于印发〈政府信息公开信息处理费管理办法〉的通知》（国办函〔2020〕109号）规定的按件、按量收费标准，本年度没有产生信息公开处理费。</w:t>
      </w:r>
    </w:p>
    <w:sectPr>
      <w:footerReference r:id="rId3" w:type="default"/>
      <w:footerReference r:id="rId4" w:type="even"/>
      <w:pgSz w:w="11906" w:h="16838"/>
      <w:pgMar w:top="1814" w:right="1474" w:bottom="1264" w:left="1588" w:header="851" w:footer="1021"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2VlMDExYTg5MGU3ODAzZGE1ZWMwN2ZiOTJiMDkifQ=="/>
  </w:docVars>
  <w:rsids>
    <w:rsidRoot w:val="00000000"/>
    <w:rsid w:val="004D52E6"/>
    <w:rsid w:val="008F7A4A"/>
    <w:rsid w:val="01145609"/>
    <w:rsid w:val="013435B5"/>
    <w:rsid w:val="017E2A82"/>
    <w:rsid w:val="01BB5A85"/>
    <w:rsid w:val="03253AFD"/>
    <w:rsid w:val="04114082"/>
    <w:rsid w:val="04447FB3"/>
    <w:rsid w:val="053E2C54"/>
    <w:rsid w:val="05500BDA"/>
    <w:rsid w:val="075524D7"/>
    <w:rsid w:val="075C1AB8"/>
    <w:rsid w:val="084A5DB4"/>
    <w:rsid w:val="0C6E02C3"/>
    <w:rsid w:val="0CA37841"/>
    <w:rsid w:val="0D1A3FA7"/>
    <w:rsid w:val="0D932AA0"/>
    <w:rsid w:val="0D996F38"/>
    <w:rsid w:val="0DE545B5"/>
    <w:rsid w:val="0E066951"/>
    <w:rsid w:val="0F474DB6"/>
    <w:rsid w:val="0F9A4F2B"/>
    <w:rsid w:val="0FBF0E36"/>
    <w:rsid w:val="11001706"/>
    <w:rsid w:val="12E50BB3"/>
    <w:rsid w:val="149E54BE"/>
    <w:rsid w:val="150317C5"/>
    <w:rsid w:val="157E709D"/>
    <w:rsid w:val="16C947FF"/>
    <w:rsid w:val="16D3483C"/>
    <w:rsid w:val="16E86EC4"/>
    <w:rsid w:val="17DE401F"/>
    <w:rsid w:val="18BA47B6"/>
    <w:rsid w:val="19404D95"/>
    <w:rsid w:val="198A6011"/>
    <w:rsid w:val="19B72AEF"/>
    <w:rsid w:val="1C113ADB"/>
    <w:rsid w:val="1CB02232"/>
    <w:rsid w:val="1D44297A"/>
    <w:rsid w:val="1D5C0A91"/>
    <w:rsid w:val="1DEF0B38"/>
    <w:rsid w:val="1F3A2287"/>
    <w:rsid w:val="1F7807AF"/>
    <w:rsid w:val="204860A5"/>
    <w:rsid w:val="20493E52"/>
    <w:rsid w:val="21D70B44"/>
    <w:rsid w:val="223905D4"/>
    <w:rsid w:val="23D20CE0"/>
    <w:rsid w:val="25DF76E4"/>
    <w:rsid w:val="262619C5"/>
    <w:rsid w:val="263A4D10"/>
    <w:rsid w:val="26E478D6"/>
    <w:rsid w:val="28AE0B59"/>
    <w:rsid w:val="29157BDF"/>
    <w:rsid w:val="296A3769"/>
    <w:rsid w:val="2B65068C"/>
    <w:rsid w:val="2C4B7881"/>
    <w:rsid w:val="2DE57862"/>
    <w:rsid w:val="30F5334F"/>
    <w:rsid w:val="31BB2FA6"/>
    <w:rsid w:val="32454D73"/>
    <w:rsid w:val="32C263C3"/>
    <w:rsid w:val="330B38C7"/>
    <w:rsid w:val="33501C21"/>
    <w:rsid w:val="34413B35"/>
    <w:rsid w:val="34C12DD7"/>
    <w:rsid w:val="34F32C75"/>
    <w:rsid w:val="35971207"/>
    <w:rsid w:val="3616178C"/>
    <w:rsid w:val="36767A4E"/>
    <w:rsid w:val="375A10AA"/>
    <w:rsid w:val="37DF3E15"/>
    <w:rsid w:val="381E5E4A"/>
    <w:rsid w:val="3845787B"/>
    <w:rsid w:val="39732EB8"/>
    <w:rsid w:val="3ACE10DF"/>
    <w:rsid w:val="3B334302"/>
    <w:rsid w:val="3B762441"/>
    <w:rsid w:val="3BBF16F2"/>
    <w:rsid w:val="3C187054"/>
    <w:rsid w:val="3CDE4F0E"/>
    <w:rsid w:val="3DBF00CF"/>
    <w:rsid w:val="3FC92B3F"/>
    <w:rsid w:val="403C77B5"/>
    <w:rsid w:val="41594397"/>
    <w:rsid w:val="41E06866"/>
    <w:rsid w:val="425A539A"/>
    <w:rsid w:val="42674891"/>
    <w:rsid w:val="42C10446"/>
    <w:rsid w:val="430E62A6"/>
    <w:rsid w:val="43672D9B"/>
    <w:rsid w:val="43BD44ED"/>
    <w:rsid w:val="44472BCC"/>
    <w:rsid w:val="446C1DDA"/>
    <w:rsid w:val="452D591E"/>
    <w:rsid w:val="45983559"/>
    <w:rsid w:val="467F664E"/>
    <w:rsid w:val="47D26C51"/>
    <w:rsid w:val="484C7D5F"/>
    <w:rsid w:val="484E4529"/>
    <w:rsid w:val="48FB5D34"/>
    <w:rsid w:val="4A81671E"/>
    <w:rsid w:val="4AD11442"/>
    <w:rsid w:val="4B0B6702"/>
    <w:rsid w:val="4B125CE2"/>
    <w:rsid w:val="4B86222C"/>
    <w:rsid w:val="4CDC403F"/>
    <w:rsid w:val="4E65488B"/>
    <w:rsid w:val="4F1A0776"/>
    <w:rsid w:val="4F5368C9"/>
    <w:rsid w:val="4FAE1D52"/>
    <w:rsid w:val="514B7A4F"/>
    <w:rsid w:val="51BB48D4"/>
    <w:rsid w:val="520E6AD8"/>
    <w:rsid w:val="52263E21"/>
    <w:rsid w:val="52C51F0E"/>
    <w:rsid w:val="52EA3518"/>
    <w:rsid w:val="550E6E41"/>
    <w:rsid w:val="55B6370E"/>
    <w:rsid w:val="565C42B5"/>
    <w:rsid w:val="56D77998"/>
    <w:rsid w:val="575C5F6D"/>
    <w:rsid w:val="5987789B"/>
    <w:rsid w:val="5A862E7C"/>
    <w:rsid w:val="5A9F6E67"/>
    <w:rsid w:val="5B53091F"/>
    <w:rsid w:val="5CAC6D2A"/>
    <w:rsid w:val="5E2D6537"/>
    <w:rsid w:val="5EB86749"/>
    <w:rsid w:val="5F904FD0"/>
    <w:rsid w:val="60561D75"/>
    <w:rsid w:val="612730A7"/>
    <w:rsid w:val="614736D5"/>
    <w:rsid w:val="61744FEB"/>
    <w:rsid w:val="621E0449"/>
    <w:rsid w:val="624C78D4"/>
    <w:rsid w:val="62EC4C13"/>
    <w:rsid w:val="6430510D"/>
    <w:rsid w:val="647A7B1F"/>
    <w:rsid w:val="64BE438D"/>
    <w:rsid w:val="64DA6FDE"/>
    <w:rsid w:val="65D93FC3"/>
    <w:rsid w:val="668D30D8"/>
    <w:rsid w:val="67CE1AF2"/>
    <w:rsid w:val="67D6379C"/>
    <w:rsid w:val="683E4ABF"/>
    <w:rsid w:val="68975621"/>
    <w:rsid w:val="68C82EF0"/>
    <w:rsid w:val="69382960"/>
    <w:rsid w:val="69821E2D"/>
    <w:rsid w:val="6A1A2066"/>
    <w:rsid w:val="6A1F767C"/>
    <w:rsid w:val="6A94006A"/>
    <w:rsid w:val="6AF94E63"/>
    <w:rsid w:val="6B471B26"/>
    <w:rsid w:val="6BCF226E"/>
    <w:rsid w:val="6C841A18"/>
    <w:rsid w:val="6C847C6A"/>
    <w:rsid w:val="6CD176D0"/>
    <w:rsid w:val="6CEA1A52"/>
    <w:rsid w:val="6D301BA0"/>
    <w:rsid w:val="6EA96D85"/>
    <w:rsid w:val="6EF016FB"/>
    <w:rsid w:val="6F3911E0"/>
    <w:rsid w:val="6F6F075E"/>
    <w:rsid w:val="6FEC53A8"/>
    <w:rsid w:val="70531E2E"/>
    <w:rsid w:val="71706A0F"/>
    <w:rsid w:val="721359C7"/>
    <w:rsid w:val="72231CD3"/>
    <w:rsid w:val="72A5093A"/>
    <w:rsid w:val="7416389E"/>
    <w:rsid w:val="75932CCC"/>
    <w:rsid w:val="759A405B"/>
    <w:rsid w:val="76664987"/>
    <w:rsid w:val="770F1A0E"/>
    <w:rsid w:val="7792494C"/>
    <w:rsid w:val="78F22A35"/>
    <w:rsid w:val="7906568C"/>
    <w:rsid w:val="7AF81F4F"/>
    <w:rsid w:val="7E376793"/>
    <w:rsid w:val="7E9640E7"/>
    <w:rsid w:val="7EF42A2E"/>
    <w:rsid w:val="7F0A1287"/>
    <w:rsid w:val="7F22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2631</Words>
  <Characters>2711</Characters>
  <Lines>0</Lines>
  <Paragraphs>0</Paragraphs>
  <TotalTime>15</TotalTime>
  <ScaleCrop>false</ScaleCrop>
  <LinksUpToDate>false</LinksUpToDate>
  <CharactersWithSpaces>2723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Amber</cp:lastModifiedBy>
  <dcterms:modified xsi:type="dcterms:W3CDTF">2025-03-27T02:34:33Z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9F873DA3061C491EAABD876DBACDF263_13</vt:lpwstr>
  </property>
  <property fmtid="{D5CDD505-2E9C-101B-9397-08002B2CF9AE}" pid="4" name="KSOTemplateDocerSaveRecord">
    <vt:lpwstr>eyJoZGlkIjoiMTcyMmJiYzE1Yzc2ZjJlN2NlYTEwNWVlMGUxZjcwOGIiLCJ1c2VySWQiOiIyNDEwNjk2MTYifQ==</vt:lpwstr>
  </property>
</Properties>
</file>