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518B1">
      <w:pPr>
        <w:pStyle w:val="2"/>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cs="Times New Roman"/>
        </w:rPr>
      </w:pPr>
      <w:r>
        <w:rPr>
          <w:rFonts w:hint="default" w:ascii="Times New Roman" w:hAnsi="Times New Roman" w:cs="Times New Roman"/>
          <w:lang w:eastAsia="zh-CN"/>
        </w:rPr>
        <w:t>舒城</w:t>
      </w:r>
      <w:bookmarkStart w:id="0" w:name="_GoBack"/>
      <w:bookmarkEnd w:id="0"/>
      <w:r>
        <w:rPr>
          <w:rFonts w:hint="default" w:ascii="Times New Roman" w:hAnsi="Times New Roman" w:cs="Times New Roman"/>
          <w:lang w:eastAsia="zh-CN"/>
        </w:rPr>
        <w:t>县文化旅游体育局</w:t>
      </w:r>
      <w:r>
        <w:rPr>
          <w:rFonts w:hint="default" w:ascii="Times New Roman" w:hAnsi="Times New Roman" w:cs="Times New Roman"/>
          <w:lang w:val="en-US" w:eastAsia="zh-CN"/>
        </w:rPr>
        <w:t>2024年</w:t>
      </w:r>
      <w:r>
        <w:rPr>
          <w:rFonts w:hint="default" w:ascii="Times New Roman" w:hAnsi="Times New Roman" w:cs="Times New Roman"/>
        </w:rPr>
        <w:t>政府信息公开工作年度报告</w:t>
      </w:r>
    </w:p>
    <w:p w14:paraId="63E2B948">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本报告依据《中华人民共和国政府信息公开条例》（国务院令第711号，以下简称《条例》）和《舒城县人民政府办公室关于做好2024年度政府信息公开年度报告编制和发布工作的通知》要求，结合舒城县文化旅游体育局（以下简称“县文旅体局”）有关统计数据和工作实际撰写。本报告由总体情况、主动公开政府信息情况、收到和处理政府信息公开申请的情况、政府信息公开行政复议和行政诉讼情况、存在的问题和改进措施以及其他需要报告的事项六部分组成，使用数据统计期限为2024年1月1日至2024年12月31日。本年度报告电子版可在舒城县人民政府门户网站“政府信息公开年度报告”栏目查阅及下载。如对本报告有疑问，请与县文旅体局联系，地址：舒城县城关镇文化广场会展中心四楼，邮编：231300，电话：0564-8627847。</w:t>
      </w:r>
    </w:p>
    <w:p w14:paraId="54D9DD1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val="en-US" w:eastAsia="zh-CN"/>
        </w:rPr>
        <w:t>一、总体情况</w:t>
      </w:r>
    </w:p>
    <w:p w14:paraId="2932EB35">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40"/>
          <w:lang w:val="en-US" w:eastAsia="zh-CN"/>
        </w:rPr>
      </w:pPr>
      <w:r>
        <w:rPr>
          <w:rFonts w:hint="default" w:ascii="Times New Roman" w:hAnsi="Times New Roman" w:eastAsia="楷体" w:cs="Times New Roman"/>
          <w:sz w:val="32"/>
          <w:szCs w:val="40"/>
          <w:lang w:val="en-US" w:eastAsia="zh-CN"/>
        </w:rPr>
        <w:t>（一）主动公开</w:t>
      </w:r>
    </w:p>
    <w:p w14:paraId="6214B824">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2024年，我局按照《条例》要求，围绕年度政务公开重点工作任务，依托县政府网站依法向广大群众公开涉及文旅体广播电视新闻出版领域的政府信息共</w:t>
      </w:r>
      <w:r>
        <w:rPr>
          <w:rFonts w:hint="default" w:ascii="Times New Roman" w:hAnsi="Times New Roman" w:eastAsia="仿宋_GB2312" w:cs="Times New Roman"/>
          <w:sz w:val="32"/>
          <w:szCs w:val="40"/>
          <w:highlight w:val="none"/>
          <w:lang w:val="en-US" w:eastAsia="zh-CN"/>
        </w:rPr>
        <w:t>685</w:t>
      </w:r>
      <w:r>
        <w:rPr>
          <w:rFonts w:hint="default" w:ascii="Times New Roman" w:hAnsi="Times New Roman" w:eastAsia="仿宋_GB2312" w:cs="Times New Roman"/>
          <w:sz w:val="32"/>
          <w:szCs w:val="40"/>
          <w:lang w:val="en-US" w:eastAsia="zh-CN"/>
        </w:rPr>
        <w:t>条。</w:t>
      </w:r>
    </w:p>
    <w:p w14:paraId="62E34187">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1.重点工作落实情况。制定《舒城县文化旅游体育局2024年政务公开重点工作任务清单》，局机关各责任股室结合业务特点，对年度重点任务进行细化分工，着力提升重点领域信息发布质量，全面提高公开质效。</w:t>
      </w:r>
    </w:p>
    <w:p w14:paraId="294CA819">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2.牵头工作落实情况。</w:t>
      </w:r>
      <w:r>
        <w:rPr>
          <w:rFonts w:hint="eastAsia" w:ascii="仿宋_GB2312" w:hAnsi="仿宋_GB2312" w:eastAsia="仿宋_GB2312" w:cs="仿宋_GB2312"/>
          <w:b/>
          <w:bCs/>
          <w:sz w:val="32"/>
          <w:szCs w:val="40"/>
          <w:lang w:val="en-US" w:eastAsia="zh-CN"/>
        </w:rPr>
        <w:t>一是突出基层“两化”领域公开。</w:t>
      </w:r>
      <w:r>
        <w:rPr>
          <w:rFonts w:hint="default" w:ascii="Times New Roman" w:hAnsi="Times New Roman" w:eastAsia="仿宋_GB2312" w:cs="Times New Roman"/>
          <w:sz w:val="32"/>
          <w:szCs w:val="40"/>
          <w:lang w:val="en-US" w:eastAsia="zh-CN"/>
        </w:rPr>
        <w:t>公开公共文化服务、广播电视、新闻出版、旅游等基层“两化”领域信息259条。</w:t>
      </w:r>
      <w:r>
        <w:rPr>
          <w:rFonts w:hint="default" w:ascii="Times New Roman" w:hAnsi="Times New Roman" w:eastAsia="仿宋_GB2312" w:cs="Times New Roman"/>
          <w:b/>
          <w:bCs/>
          <w:sz w:val="32"/>
          <w:szCs w:val="40"/>
          <w:lang w:val="en-US" w:eastAsia="zh-CN"/>
        </w:rPr>
        <w:t>二是加强重点领域公开力度。</w:t>
      </w:r>
      <w:r>
        <w:rPr>
          <w:rFonts w:hint="default" w:ascii="Times New Roman" w:hAnsi="Times New Roman" w:eastAsia="仿宋_GB2312" w:cs="Times New Roman"/>
          <w:sz w:val="32"/>
          <w:szCs w:val="40"/>
          <w:lang w:val="en-US" w:eastAsia="zh-CN"/>
        </w:rPr>
        <w:t>重点加强旅游市场监管、财政资金、支持市场主体纾困发展等重点领域信息公开工作，做好权责清单、行政执法依据、程序、结果等相关信息公开，发布2024版权责清单，办理行政许可22件、行政处罚25件。本年度，我局共办理人大代表建议2件、政协委员提案4件。</w:t>
      </w:r>
    </w:p>
    <w:p w14:paraId="67D38D3B">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40"/>
          <w:lang w:val="en-US" w:eastAsia="zh-CN"/>
        </w:rPr>
      </w:pPr>
      <w:r>
        <w:rPr>
          <w:rFonts w:hint="default" w:ascii="Times New Roman" w:hAnsi="Times New Roman" w:eastAsia="楷体" w:cs="Times New Roman"/>
          <w:sz w:val="32"/>
          <w:szCs w:val="40"/>
          <w:lang w:val="en-US" w:eastAsia="zh-CN"/>
        </w:rPr>
        <w:t>（二）依申请公开</w:t>
      </w:r>
    </w:p>
    <w:p w14:paraId="786A98C9">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根据《条例》与省市有关工作要求，严格落实依申请公开规范制度和办理流程，畅通线上线下沟通渠道，努力实现服务群众“零距离”。2024年我局未收到公民或者法人依申请公开申请。全年无因政府信息公开引发的行政复议、行政诉讼。</w:t>
      </w:r>
    </w:p>
    <w:p w14:paraId="40BDC758">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40"/>
          <w:lang w:val="en-US" w:eastAsia="zh-CN"/>
        </w:rPr>
      </w:pPr>
      <w:r>
        <w:rPr>
          <w:rFonts w:hint="default" w:ascii="Times New Roman" w:hAnsi="Times New Roman" w:eastAsia="楷体" w:cs="Times New Roman"/>
          <w:sz w:val="32"/>
          <w:szCs w:val="40"/>
          <w:lang w:val="en-US" w:eastAsia="zh-CN"/>
        </w:rPr>
        <w:t>（三）政府信息管理</w:t>
      </w:r>
    </w:p>
    <w:p w14:paraId="24D5C6FD">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2024年，我局贯彻落实稿件信息三审制，从源头做好信息公开提质增效，促进政务信息公开工作科学化、规范化、制度化建设，开展隐私泄露问题自查自纠，本年度未发生公民隐私泄露事件。推进行政规范性文件格式规范整改、更新与清理工作，发布</w:t>
      </w:r>
      <w:r>
        <w:rPr>
          <w:rFonts w:hint="eastAsia" w:ascii="Times New Roman" w:hAnsi="Times New Roman" w:eastAsia="仿宋_GB2312" w:cs="Times New Roman"/>
          <w:sz w:val="32"/>
          <w:szCs w:val="40"/>
          <w:lang w:val="en-US" w:eastAsia="zh-CN"/>
        </w:rPr>
        <w:t>文旅体</w:t>
      </w:r>
      <w:r>
        <w:rPr>
          <w:rFonts w:hint="default" w:ascii="Times New Roman" w:hAnsi="Times New Roman" w:eastAsia="仿宋_GB2312" w:cs="Times New Roman"/>
          <w:sz w:val="32"/>
          <w:szCs w:val="40"/>
          <w:lang w:val="en-US" w:eastAsia="zh-CN"/>
        </w:rPr>
        <w:t>局现行有效规范性文件目录，2024年，我局未制发规范性文件。</w:t>
      </w:r>
    </w:p>
    <w:p w14:paraId="26359C5E">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40"/>
          <w:lang w:val="en-US" w:eastAsia="zh-CN"/>
        </w:rPr>
      </w:pPr>
      <w:r>
        <w:rPr>
          <w:rFonts w:hint="default" w:ascii="Times New Roman" w:hAnsi="Times New Roman" w:eastAsia="楷体" w:cs="Times New Roman"/>
          <w:sz w:val="32"/>
          <w:szCs w:val="40"/>
          <w:lang w:val="en-US" w:eastAsia="zh-CN"/>
        </w:rPr>
        <w:t>（四）政府信息公开平台建设</w:t>
      </w:r>
    </w:p>
    <w:p w14:paraId="2DB3BE18">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40"/>
          <w:lang w:val="en-US" w:eastAsia="zh-CN"/>
        </w:rPr>
        <w:t>一是加强网站信息发布规范化建设。</w:t>
      </w:r>
      <w:r>
        <w:rPr>
          <w:rFonts w:hint="default" w:ascii="Times New Roman" w:hAnsi="Times New Roman" w:eastAsia="仿宋_GB2312" w:cs="Times New Roman"/>
          <w:sz w:val="32"/>
          <w:szCs w:val="40"/>
          <w:lang w:val="en-US" w:eastAsia="zh-CN"/>
        </w:rPr>
        <w:t>及时、准确、高质量做好基本政务信息、重点政务信息、文旅</w:t>
      </w:r>
      <w:r>
        <w:rPr>
          <w:rFonts w:hint="eastAsia" w:ascii="Times New Roman" w:hAnsi="Times New Roman" w:eastAsia="仿宋_GB2312" w:cs="Times New Roman"/>
          <w:sz w:val="32"/>
          <w:szCs w:val="40"/>
          <w:lang w:val="en-US" w:eastAsia="zh-CN"/>
        </w:rPr>
        <w:t>体</w:t>
      </w:r>
      <w:r>
        <w:rPr>
          <w:rFonts w:hint="default" w:ascii="Times New Roman" w:hAnsi="Times New Roman" w:eastAsia="仿宋_GB2312" w:cs="Times New Roman"/>
          <w:sz w:val="32"/>
          <w:szCs w:val="40"/>
          <w:lang w:val="en-US" w:eastAsia="zh-CN"/>
        </w:rPr>
        <w:t>民生服务、公告公示等栏目信息报送，不断提升信息发布质量和效率。</w:t>
      </w:r>
      <w:r>
        <w:rPr>
          <w:rFonts w:hint="default" w:ascii="Times New Roman" w:hAnsi="Times New Roman" w:eastAsia="仿宋_GB2312" w:cs="Times New Roman"/>
          <w:b/>
          <w:bCs/>
          <w:sz w:val="32"/>
          <w:szCs w:val="40"/>
          <w:lang w:val="en-US" w:eastAsia="zh-CN"/>
        </w:rPr>
        <w:t>二是提升政务新媒体宣传阵地作用。</w:t>
      </w:r>
      <w:r>
        <w:rPr>
          <w:rFonts w:hint="default" w:ascii="Times New Roman" w:hAnsi="Times New Roman" w:eastAsia="仿宋_GB2312" w:cs="Times New Roman"/>
          <w:sz w:val="32"/>
          <w:szCs w:val="40"/>
          <w:lang w:val="en-US" w:eastAsia="zh-CN"/>
        </w:rPr>
        <w:t>强化“舒城文旅之声”“舒城县文化馆”“舒城县图书馆”微信公众号矩阵建设，推送</w:t>
      </w:r>
      <w:r>
        <w:rPr>
          <w:rFonts w:hint="eastAsia" w:ascii="Times New Roman" w:hAnsi="Times New Roman" w:eastAsia="仿宋_GB2312" w:cs="Times New Roman"/>
          <w:sz w:val="32"/>
          <w:szCs w:val="40"/>
          <w:lang w:val="en-US" w:eastAsia="zh-CN"/>
        </w:rPr>
        <w:t>文旅</w:t>
      </w:r>
      <w:r>
        <w:rPr>
          <w:rFonts w:hint="default" w:ascii="Times New Roman" w:hAnsi="Times New Roman" w:eastAsia="仿宋_GB2312" w:cs="Times New Roman"/>
          <w:sz w:val="32"/>
          <w:szCs w:val="40"/>
          <w:lang w:val="en-US" w:eastAsia="zh-CN"/>
        </w:rPr>
        <w:t>资讯、政策解读、重要转载等方面信息，拓宽政府信息发布方式</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积极传播党和政府声音，不断满足人民群众对文化、旅游、体育各类信息资讯需求。202</w:t>
      </w:r>
      <w:r>
        <w:rPr>
          <w:rFonts w:hint="eastAsia" w:ascii="Times New Roman" w:hAnsi="Times New Roman" w:eastAsia="仿宋_GB2312" w:cs="Times New Roman"/>
          <w:sz w:val="32"/>
          <w:szCs w:val="40"/>
          <w:lang w:val="en-US" w:eastAsia="zh-CN"/>
        </w:rPr>
        <w:t>4</w:t>
      </w:r>
      <w:r>
        <w:rPr>
          <w:rFonts w:hint="default" w:ascii="Times New Roman" w:hAnsi="Times New Roman" w:eastAsia="仿宋_GB2312" w:cs="Times New Roman"/>
          <w:sz w:val="32"/>
          <w:szCs w:val="40"/>
          <w:lang w:val="en-US" w:eastAsia="zh-CN"/>
        </w:rPr>
        <w:t>年度共推送信息</w:t>
      </w:r>
      <w:r>
        <w:rPr>
          <w:rFonts w:hint="eastAsia" w:ascii="Times New Roman" w:hAnsi="Times New Roman" w:eastAsia="仿宋_GB2312" w:cs="Times New Roman"/>
          <w:sz w:val="32"/>
          <w:szCs w:val="40"/>
          <w:lang w:val="en-US" w:eastAsia="zh-CN"/>
        </w:rPr>
        <w:t>628</w:t>
      </w:r>
      <w:r>
        <w:rPr>
          <w:rFonts w:hint="default" w:ascii="Times New Roman" w:hAnsi="Times New Roman" w:eastAsia="仿宋_GB2312" w:cs="Times New Roman"/>
          <w:sz w:val="32"/>
          <w:szCs w:val="40"/>
          <w:lang w:val="en-US" w:eastAsia="zh-CN"/>
        </w:rPr>
        <w:t>条。</w:t>
      </w:r>
    </w:p>
    <w:p w14:paraId="68787CE5">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40"/>
          <w:lang w:val="en-US" w:eastAsia="zh-CN"/>
        </w:rPr>
      </w:pPr>
      <w:r>
        <w:rPr>
          <w:rFonts w:hint="default" w:ascii="Times New Roman" w:hAnsi="Times New Roman" w:eastAsia="楷体" w:cs="Times New Roman"/>
          <w:sz w:val="32"/>
          <w:szCs w:val="40"/>
          <w:lang w:val="en-US" w:eastAsia="zh-CN"/>
        </w:rPr>
        <w:t>（五）监督保障</w:t>
      </w:r>
    </w:p>
    <w:p w14:paraId="63F678E8">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按照县政府关于政务公开方面相关要求，结合我局实际，做好任务分解，确保责任到人。接受县政府监督和考评，以县政务公开办监测通报为抓手，认真分析县政务公开办对本局栏目及两化栏目测评反馈事项，找准失分点，逐项梳理问题，找准责任股室并督促提供材料便于整改，做好政务公开工作考核，坚持以问题为导向，紧抓薄弱环节，不断改进和提升。202</w:t>
      </w:r>
      <w:r>
        <w:rPr>
          <w:rFonts w:hint="default" w:ascii="Times New Roman" w:hAnsi="Times New Roman" w:eastAsia="仿宋_GB2312" w:cs="Times New Roman"/>
          <w:i w:val="0"/>
          <w:iCs w:val="0"/>
          <w:caps w:val="0"/>
          <w:color w:val="000000"/>
          <w:spacing w:val="0"/>
          <w:sz w:val="32"/>
          <w:szCs w:val="32"/>
          <w:shd w:val="clear" w:fill="FFFFFF"/>
          <w:lang w:val="en-US" w:eastAsia="zh-CN"/>
        </w:rPr>
        <w:t>4</w:t>
      </w:r>
      <w:r>
        <w:rPr>
          <w:rFonts w:hint="default" w:ascii="Times New Roman" w:hAnsi="Times New Roman" w:eastAsia="仿宋_GB2312" w:cs="Times New Roman"/>
          <w:i w:val="0"/>
          <w:iCs w:val="0"/>
          <w:caps w:val="0"/>
          <w:color w:val="000000"/>
          <w:spacing w:val="0"/>
          <w:sz w:val="32"/>
          <w:szCs w:val="32"/>
          <w:shd w:val="clear" w:fill="FFFFFF"/>
        </w:rPr>
        <w:t>年度，舒城县</w:t>
      </w:r>
      <w:r>
        <w:rPr>
          <w:rFonts w:hint="default" w:ascii="Times New Roman" w:hAnsi="Times New Roman" w:eastAsia="仿宋_GB2312" w:cs="Times New Roman"/>
          <w:i w:val="0"/>
          <w:iCs w:val="0"/>
          <w:caps w:val="0"/>
          <w:color w:val="000000"/>
          <w:spacing w:val="0"/>
          <w:sz w:val="32"/>
          <w:szCs w:val="32"/>
          <w:shd w:val="clear" w:fill="FFFFFF"/>
          <w:lang w:eastAsia="zh-CN"/>
        </w:rPr>
        <w:t>文旅体局</w:t>
      </w:r>
      <w:r>
        <w:rPr>
          <w:rFonts w:hint="default" w:ascii="Times New Roman" w:hAnsi="Times New Roman" w:eastAsia="仿宋_GB2312" w:cs="Times New Roman"/>
          <w:i w:val="0"/>
          <w:iCs w:val="0"/>
          <w:caps w:val="0"/>
          <w:color w:val="000000"/>
          <w:spacing w:val="0"/>
          <w:sz w:val="32"/>
          <w:szCs w:val="32"/>
          <w:shd w:val="clear" w:fill="FFFFFF"/>
        </w:rPr>
        <w:t>无因信息公开引发的负面社会评议和责任追究情况。</w:t>
      </w:r>
    </w:p>
    <w:p w14:paraId="23075BC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val="en-US" w:eastAsia="zh-CN"/>
        </w:rPr>
        <w:t>二、主动公开政府信息情况</w:t>
      </w:r>
    </w:p>
    <w:tbl>
      <w:tblPr>
        <w:tblStyle w:val="6"/>
        <w:tblW w:w="9740" w:type="dxa"/>
        <w:jc w:val="center"/>
        <w:tblLayout w:type="fixed"/>
        <w:tblCellMar>
          <w:top w:w="0" w:type="dxa"/>
          <w:left w:w="0" w:type="dxa"/>
          <w:bottom w:w="0" w:type="dxa"/>
          <w:right w:w="0" w:type="dxa"/>
        </w:tblCellMar>
      </w:tblPr>
      <w:tblGrid>
        <w:gridCol w:w="2435"/>
        <w:gridCol w:w="2435"/>
        <w:gridCol w:w="2435"/>
        <w:gridCol w:w="2435"/>
      </w:tblGrid>
      <w:tr w14:paraId="65DDD646">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785CDDE7">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第二十条第（一）项</w:t>
            </w:r>
          </w:p>
        </w:tc>
      </w:tr>
      <w:tr w14:paraId="25658F6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4C9C362">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1E03E065">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28209F2F">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75D340CE">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现行有效件数</w:t>
            </w:r>
          </w:p>
        </w:tc>
      </w:tr>
      <w:tr w14:paraId="54EC9BC6">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9417E0C">
            <w:pPr>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48DAEEB8">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val="en-US" w:eastAsia="zh-CN"/>
              </w:rPr>
              <w:t>0</w:t>
            </w:r>
            <w:r>
              <w:rPr>
                <w:rFonts w:hint="default" w:ascii="Times New Roman" w:hAnsi="Times New Roman" w:eastAsia="宋体" w:cs="Times New Roman"/>
                <w:color w:val="000000"/>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14:paraId="4D8BE841">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val="en-US" w:eastAsia="zh-CN"/>
              </w:rPr>
              <w:t>0</w:t>
            </w:r>
            <w:r>
              <w:rPr>
                <w:rFonts w:hint="default" w:ascii="Times New Roman" w:hAnsi="Times New Roman" w:eastAsia="宋体" w:cs="Times New Roman"/>
                <w:color w:val="000000"/>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14:paraId="0903FFD4">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val="en-US" w:eastAsia="zh-CN"/>
              </w:rPr>
              <w:t>0</w:t>
            </w:r>
            <w:r>
              <w:rPr>
                <w:rFonts w:hint="default" w:ascii="Times New Roman" w:hAnsi="Times New Roman" w:eastAsia="宋体" w:cs="Times New Roman"/>
                <w:color w:val="000000"/>
                <w:kern w:val="0"/>
                <w:sz w:val="20"/>
                <w:szCs w:val="20"/>
              </w:rPr>
              <w:t> </w:t>
            </w:r>
          </w:p>
        </w:tc>
      </w:tr>
      <w:tr w14:paraId="4697D54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7BCDABC3">
            <w:pPr>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7AFE68A6">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r>
              <w:rPr>
                <w:rFonts w:hint="default" w:ascii="Times New Roman" w:hAnsi="Times New Roman" w:eastAsia="宋体" w:cs="Times New Roman"/>
                <w:color w:val="000000"/>
                <w:kern w:val="0"/>
                <w:sz w:val="20"/>
                <w:szCs w:val="20"/>
                <w:lang w:val="en-US" w:eastAsia="zh-CN"/>
              </w:rPr>
              <w:t>0</w:t>
            </w:r>
            <w:r>
              <w:rPr>
                <w:rFonts w:hint="default" w:ascii="Times New Roman" w:hAnsi="Times New Roman" w:eastAsia="宋体" w:cs="Times New Roman"/>
                <w:color w:val="000000"/>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14:paraId="2E1FC1E1">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rPr>
              <w:t> 　</w:t>
            </w:r>
            <w:r>
              <w:rPr>
                <w:rFonts w:hint="default" w:ascii="Times New Roman" w:hAnsi="Times New Roman" w:eastAsia="宋体"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0D613130">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lang w:val="en-US" w:eastAsia="zh-CN"/>
              </w:rPr>
              <w:t>0</w:t>
            </w:r>
          </w:p>
        </w:tc>
      </w:tr>
      <w:tr w14:paraId="1F7C294C">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25CAA34">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第二十条第（五）项</w:t>
            </w:r>
          </w:p>
        </w:tc>
      </w:tr>
      <w:tr w14:paraId="51DF554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D4BE5D3">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615FDE1C">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本年处理决定数量</w:t>
            </w:r>
          </w:p>
        </w:tc>
      </w:tr>
      <w:tr w14:paraId="118DE43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9565A27">
            <w:pPr>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B03A559">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1"/>
                <w:szCs w:val="21"/>
                <w:lang w:val="en-US" w:eastAsia="zh-CN"/>
              </w:rPr>
              <w:t>22</w:t>
            </w:r>
          </w:p>
        </w:tc>
      </w:tr>
      <w:tr w14:paraId="4D0A8F3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70E112E">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第二十条第（六）项</w:t>
            </w:r>
          </w:p>
        </w:tc>
      </w:tr>
      <w:tr w14:paraId="08D88CC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8235CFC">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5963BB74">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本年处理决定数量</w:t>
            </w:r>
          </w:p>
        </w:tc>
      </w:tr>
      <w:tr w14:paraId="2EEE02B0">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4540616">
            <w:pPr>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7BBD6563">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val="en-US" w:eastAsia="zh-CN"/>
              </w:rPr>
              <w:t>25</w:t>
            </w:r>
            <w:r>
              <w:rPr>
                <w:rFonts w:hint="default" w:ascii="Times New Roman" w:hAnsi="Times New Roman" w:eastAsia="宋体" w:cs="Times New Roman"/>
                <w:color w:val="000000"/>
                <w:kern w:val="0"/>
                <w:sz w:val="20"/>
                <w:szCs w:val="20"/>
              </w:rPr>
              <w:t>　</w:t>
            </w:r>
          </w:p>
        </w:tc>
      </w:tr>
      <w:tr w14:paraId="49EE28B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8E8D3B6">
            <w:pPr>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DC6B576">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val="en-US" w:eastAsia="zh-CN"/>
              </w:rPr>
              <w:t>0</w:t>
            </w:r>
            <w:r>
              <w:rPr>
                <w:rFonts w:hint="default" w:ascii="Times New Roman" w:hAnsi="Times New Roman" w:eastAsia="宋体" w:cs="Times New Roman"/>
                <w:color w:val="000000"/>
                <w:kern w:val="0"/>
                <w:sz w:val="20"/>
                <w:szCs w:val="20"/>
              </w:rPr>
              <w:t>　</w:t>
            </w:r>
          </w:p>
        </w:tc>
      </w:tr>
      <w:tr w14:paraId="1D7F8F9A">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2EE78C7">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第二十条第（八）项</w:t>
            </w:r>
          </w:p>
        </w:tc>
      </w:tr>
      <w:tr w14:paraId="1903144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DBC7878">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8F2BAEF">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本年收费金额（单位：万元）</w:t>
            </w:r>
          </w:p>
        </w:tc>
      </w:tr>
      <w:tr w14:paraId="06D6D57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4BE7743">
            <w:pPr>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133F1A9">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0</w:t>
            </w:r>
          </w:p>
        </w:tc>
      </w:tr>
    </w:tbl>
    <w:p w14:paraId="1149A0CB">
      <w:pPr>
        <w:pStyle w:val="3"/>
        <w:keepNext/>
        <w:keepLines/>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default" w:ascii="Times New Roman" w:hAnsi="Times New Roman" w:cs="Times New Roman"/>
          <w:sz w:val="32"/>
          <w:szCs w:val="48"/>
          <w:lang w:val="en-US" w:eastAsia="zh-CN"/>
        </w:rPr>
      </w:pPr>
      <w:r>
        <w:rPr>
          <w:rFonts w:hint="default" w:ascii="Times New Roman" w:hAnsi="Times New Roman" w:cs="Times New Roman"/>
          <w:sz w:val="32"/>
          <w:szCs w:val="48"/>
          <w:lang w:val="en-US" w:eastAsia="zh-CN"/>
        </w:rPr>
        <w:t>三、收到和处理政府信息公开申请情况</w:t>
      </w:r>
    </w:p>
    <w:tbl>
      <w:tblPr>
        <w:tblStyle w:val="6"/>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14:paraId="649C01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02DE85D5">
            <w:pPr>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rPr>
            </w:pPr>
            <w:r>
              <w:rPr>
                <w:rFonts w:hint="eastAsia" w:asciiTheme="minorEastAsia" w:hAnsiTheme="minorEastAsia" w:eastAsiaTheme="minorEastAsia" w:cstheme="minorEastAsia"/>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14:paraId="7EE6A303">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申请人情况</w:t>
            </w:r>
          </w:p>
        </w:tc>
      </w:tr>
      <w:tr w14:paraId="571465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2BC1D1EC">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14:paraId="33C5A624">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51372A24">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14:paraId="781E71DC">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总计</w:t>
            </w:r>
          </w:p>
        </w:tc>
      </w:tr>
      <w:tr w14:paraId="2F8830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4C4D3365">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14:paraId="0F74B6EA">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14:paraId="52C2C679">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商业</w:t>
            </w:r>
          </w:p>
          <w:p w14:paraId="0BC1677C">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14:paraId="5E9F840E">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科研</w:t>
            </w:r>
          </w:p>
          <w:p w14:paraId="38A86C81">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1B467640">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74843FF9">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5E0BE1A0">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14:paraId="1CF7CE22">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r>
      <w:tr w14:paraId="2864E5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7FE5967">
            <w:pPr>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78008823">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3097E1C">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72AF1B9">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82AB54">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B13FE3">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2912C9">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ED3981A">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14:paraId="6DFB85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99763A3">
            <w:pPr>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6F3C70BF">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1F3C2F0">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B396385">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3ECE5C1">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60034C">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304047">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C958CC7">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14:paraId="1FA554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0814D11E">
            <w:pPr>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09CAF04F">
            <w:pPr>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14:paraId="622A7378">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D6E10EB">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4BEA1D6">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45BD5A5">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E679F4B">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7B79C2">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14:paraId="4EEAAAE0">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14:paraId="4B2B2D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B98FA68">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426A972F">
            <w:pPr>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（二）部分公开</w:t>
            </w:r>
            <w:r>
              <w:rPr>
                <w:rFonts w:hint="default" w:ascii="Times New Roman" w:hAnsi="Times New Roman" w:eastAsia="楷体" w:cs="Times New Roman"/>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14:paraId="3DE93BC9">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ED3324">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76AD38F">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3FE12F4">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0865C28">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5F9EFB7">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56E38A3">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14:paraId="3DD17E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2F119AD">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5E4C2C9">
            <w:pPr>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14:paraId="3177F0D9">
            <w:pPr>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14:paraId="11E04173">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EB2F459">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C1FA665">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FD6D6DC">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2CDABAE">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5FC16F">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14:paraId="593F56B1">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14:paraId="6D8455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2008E09">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EFD9970">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4534EA7">
            <w:pPr>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14:paraId="48108FCD">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6468BF4">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D04D534">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1DA27B1">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E90E4F">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0DD2B4">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F93368">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14:paraId="166A52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104B23">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A6FC61">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ED00FA7">
            <w:pPr>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14:paraId="7B153A95">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F1530BB">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96E5FC1">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641957D">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3375436">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0F236F8">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7480BFD">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14:paraId="234BE1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D3F643B">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70833E4">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2DF79DA">
            <w:pPr>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14:paraId="106730AE">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4E66C3F">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2E75C91">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9E859A4">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4E504E4">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F816EAF">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12152D">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14:paraId="1728B8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C979CA6">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83E98DB">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687BAA4">
            <w:pPr>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14:paraId="6B0472EA">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006CAD4">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E6F07F8">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6B4F7C5">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42E90A5">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E84FCBF">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7148D0C">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14:paraId="6E65B7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31125E8">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2EAF640">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1667F443">
            <w:pPr>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14:paraId="713AE2CF">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EAD347">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6FCC020">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A6933EB">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FFD60A7">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66295D1">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4BF151B">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14:paraId="17B1CE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58ABD26">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CCAEDB3">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4BAA979">
            <w:pPr>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14:paraId="68346008">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42E70E5">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13116A3">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AACBC0">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0E1DA5A">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1037B1">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A86A25A">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14:paraId="7DE1D6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07C25A0">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68EF3DB">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9FB2813">
            <w:pPr>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14:paraId="43C86DC6">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5E893E1">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E2C02C">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286283C">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AC8DED6">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7EF1E5">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0D515D">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14:paraId="481F2D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7FF651C">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396DAA27">
            <w:pPr>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14:paraId="53769790">
            <w:pPr>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14:paraId="292DE6F4">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5902E57">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BB29151">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941A76F">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5D9FB61">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AA0D699">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C588906">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14:paraId="67E40E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861A1E4">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153EFC2">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E88D874">
            <w:pPr>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14:paraId="5DA51929">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400C24">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8201B6">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D09E7F">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063A205">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C2E964">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0BDC57D">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14:paraId="154045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EBFDA0A">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50ECEDB">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8BDEFDB">
            <w:pPr>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14:paraId="489E755E">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DA74C3">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CC01031">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A2A9A30">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D6E0485">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C948F0D">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3BA5E11">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14:paraId="283110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FA6DC9E">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FDDA652">
            <w:pPr>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14:paraId="50622D31">
            <w:pPr>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14:paraId="53FED11F">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A9B31D3">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05AFE09">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1863B0">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D8179E7">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D3DC633">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296926">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14:paraId="58E6E8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9C55D1C">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EE73AEE">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E5B9733">
            <w:pPr>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14:paraId="1C2B593B">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C3A390">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505678A">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619F630">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61A248D">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281D8F">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EE3687B">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14:paraId="0242F8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923D7DA">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B4C0FD0">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4FF4B5A">
            <w:pPr>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14:paraId="523DB100">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3183CF">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23ECFD">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5E4A46C">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F1BD3E">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1918A0A">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22352DA">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14:paraId="146120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63BA0F1">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F8F6A1">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22B26FA6">
            <w:pPr>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14:paraId="41FD677F">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620E8CE">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0CCFC1E">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9BAA0F">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349EE88">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4E26230">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653654">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14:paraId="761C81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6EF3D5">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7DA6200">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14:paraId="40FBF65D">
            <w:pPr>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14:paraId="5501E8FC">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765C1073">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6D4677DA">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470A54AE">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4DD8A405">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3049937F">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714950F7">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14:paraId="4C9C8A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DA43705">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4CF788D0">
            <w:pPr>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14:paraId="22071CAD">
            <w:pPr>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5DBF002E">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6EE051F">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F0FCC97">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A1B808">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C00B46F">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5278C56">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BB5735">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14:paraId="5C3868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B2F0E26">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5A83E3D4">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239E91DF">
            <w:pPr>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2ECB896E">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36AE4C">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8FA3E62">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F71C8A9">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BBBC94">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050788C">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E552F3">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14:paraId="36233C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FF21817">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196D8AE4">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691BF32B">
            <w:pPr>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14:paraId="613D522A">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5B0E12F">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37DA86B">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6CB003">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F8EAF4">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D11C35">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8DC979">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14:paraId="4C23B7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600BAB6">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7FE6A4BC">
            <w:pPr>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14:paraId="2518759B">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00850C9">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2E159EF">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444802D">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FD6ABDB">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722A09">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4F75AB5">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14:paraId="71B1F9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12E3D087">
            <w:pPr>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14:paraId="665BD071">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A5B5986">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11473F9">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5FB4B28">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999A44E">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C565E38">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2046F7">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0</w:t>
            </w:r>
          </w:p>
        </w:tc>
      </w:tr>
    </w:tbl>
    <w:p w14:paraId="41BF3CA6">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14:paraId="765DC666">
      <w:pPr>
        <w:pStyle w:val="3"/>
        <w:keepNext/>
        <w:keepLines/>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default" w:ascii="Times New Roman" w:hAnsi="Times New Roman" w:cs="Times New Roman"/>
          <w:sz w:val="32"/>
          <w:szCs w:val="48"/>
          <w:lang w:val="en-US" w:eastAsia="zh-CN"/>
        </w:rPr>
      </w:pPr>
      <w:r>
        <w:rPr>
          <w:rFonts w:hint="default" w:ascii="Times New Roman" w:hAnsi="Times New Roman" w:cs="Times New Roman"/>
          <w:sz w:val="32"/>
          <w:szCs w:val="48"/>
          <w:lang w:val="en-US" w:eastAsia="zh-CN"/>
        </w:rPr>
        <w:t>四、政府信息公开行政复议、行政诉讼情况</w:t>
      </w:r>
    </w:p>
    <w:p w14:paraId="29B7540F">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tbl>
      <w:tblPr>
        <w:tblStyle w:val="6"/>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449C6F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4890349">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23DEBB">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行政诉讼</w:t>
            </w:r>
          </w:p>
        </w:tc>
      </w:tr>
      <w:tr w14:paraId="5C8EE4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2410B7C0">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0D3CA460">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3145B9E">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其他</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161E439">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尚未</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457E0E">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EAF5D62">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E21F27C">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复议后起诉</w:t>
            </w:r>
          </w:p>
        </w:tc>
      </w:tr>
      <w:tr w14:paraId="6F1684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E3CFC9E">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70549596">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825153D">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85B2607">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8193582">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16A41B9">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9A19781">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7477B19">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其他</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2D6CB90">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尚未</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78596D5">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A8CF5B7">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4EAE869">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4240696">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其他</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90846FB">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尚未</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712E34B">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总计</w:t>
            </w:r>
          </w:p>
        </w:tc>
      </w:tr>
      <w:tr w14:paraId="762336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2941B33">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kern w:val="0"/>
                <w:sz w:val="20"/>
                <w:szCs w:val="20"/>
              </w:rPr>
              <w:t> </w:t>
            </w:r>
            <w:r>
              <w:rPr>
                <w:rFonts w:hint="default" w:ascii="Times New Roman" w:hAnsi="Times New Roman" w:eastAsia="黑体"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3034303">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20"/>
                <w:szCs w:val="20"/>
                <w:lang w:val="en-US" w:eastAsia="zh-CN"/>
              </w:rPr>
              <w:t>0</w:t>
            </w:r>
            <w:r>
              <w:rPr>
                <w:rFonts w:hint="default" w:ascii="Times New Roman" w:hAnsi="Times New Roman" w:eastAsia="黑体" w:cs="Times New Roman"/>
                <w:color w:val="000000"/>
                <w:kern w:val="0"/>
                <w:sz w:val="20"/>
                <w:szCs w:val="20"/>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81F6011">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kern w:val="0"/>
                <w:sz w:val="20"/>
                <w:szCs w:val="20"/>
              </w:rPr>
              <w:t> </w:t>
            </w:r>
            <w:r>
              <w:rPr>
                <w:rFonts w:hint="default" w:ascii="Times New Roman" w:hAnsi="Times New Roman" w:eastAsia="黑体"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8932FCE">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kern w:val="0"/>
                <w:sz w:val="20"/>
                <w:szCs w:val="20"/>
              </w:rPr>
              <w:t> </w:t>
            </w:r>
            <w:r>
              <w:rPr>
                <w:rFonts w:hint="default" w:ascii="Times New Roman" w:hAnsi="Times New Roman" w:eastAsia="黑体"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6A7DBC5">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kern w:val="0"/>
                <w:sz w:val="20"/>
                <w:szCs w:val="20"/>
              </w:rPr>
              <w:t> </w:t>
            </w:r>
            <w:r>
              <w:rPr>
                <w:rFonts w:hint="default" w:ascii="Times New Roman" w:hAnsi="Times New Roman" w:eastAsia="黑体"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F7F3DE1">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20"/>
                <w:szCs w:val="20"/>
                <w:lang w:val="en-US" w:eastAsia="zh-CN"/>
              </w:rPr>
              <w:t>0</w:t>
            </w:r>
            <w:r>
              <w:rPr>
                <w:rFonts w:hint="default" w:ascii="Times New Roman" w:hAnsi="Times New Roman" w:eastAsia="黑体" w:cs="Times New Roman"/>
                <w:color w:val="000000"/>
                <w:kern w:val="0"/>
                <w:sz w:val="20"/>
                <w:szCs w:val="20"/>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61B64B8">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20"/>
                <w:szCs w:val="20"/>
                <w:lang w:val="en-US" w:eastAsia="zh-CN"/>
              </w:rPr>
              <w:t>0</w:t>
            </w:r>
            <w:r>
              <w:rPr>
                <w:rFonts w:hint="default" w:ascii="Times New Roman" w:hAnsi="Times New Roman" w:eastAsia="黑体" w:cs="Times New Roman"/>
                <w:color w:val="000000"/>
                <w:kern w:val="0"/>
                <w:sz w:val="20"/>
                <w:szCs w:val="20"/>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7F70067">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kern w:val="0"/>
                <w:sz w:val="20"/>
                <w:szCs w:val="20"/>
              </w:rPr>
              <w:t> </w:t>
            </w:r>
            <w:r>
              <w:rPr>
                <w:rFonts w:hint="default" w:ascii="Times New Roman" w:hAnsi="Times New Roman" w:eastAsia="黑体"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C2788CE">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kern w:val="0"/>
                <w:sz w:val="20"/>
                <w:szCs w:val="20"/>
              </w:rPr>
              <w:t> </w:t>
            </w:r>
            <w:r>
              <w:rPr>
                <w:rFonts w:hint="default" w:ascii="Times New Roman" w:hAnsi="Times New Roman" w:eastAsia="黑体"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06E5B7C">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kern w:val="0"/>
                <w:sz w:val="20"/>
                <w:szCs w:val="20"/>
              </w:rPr>
              <w:t> </w:t>
            </w:r>
            <w:r>
              <w:rPr>
                <w:rFonts w:hint="default" w:ascii="Times New Roman" w:hAnsi="Times New Roman" w:eastAsia="黑体"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3D62A2F">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20"/>
                <w:szCs w:val="20"/>
                <w:lang w:val="en-US" w:eastAsia="zh-CN"/>
              </w:rPr>
              <w:t>0</w:t>
            </w:r>
            <w:r>
              <w:rPr>
                <w:rFonts w:hint="default" w:ascii="Times New Roman" w:hAnsi="Times New Roman" w:eastAsia="黑体" w:cs="Times New Roman"/>
                <w:color w:val="000000"/>
                <w:kern w:val="0"/>
                <w:sz w:val="20"/>
                <w:szCs w:val="20"/>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F4A3944">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kern w:val="0"/>
                <w:sz w:val="20"/>
                <w:szCs w:val="20"/>
              </w:rPr>
              <w:t> </w:t>
            </w:r>
            <w:r>
              <w:rPr>
                <w:rFonts w:hint="default" w:ascii="Times New Roman" w:hAnsi="Times New Roman" w:eastAsia="黑体"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DC05741">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kern w:val="0"/>
                <w:sz w:val="20"/>
                <w:szCs w:val="20"/>
              </w:rPr>
              <w:t> </w:t>
            </w:r>
            <w:r>
              <w:rPr>
                <w:rFonts w:hint="default" w:ascii="Times New Roman" w:hAnsi="Times New Roman" w:eastAsia="黑体"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13D8D8B">
            <w:pPr>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20"/>
                <w:szCs w:val="20"/>
                <w:lang w:val="en-US" w:eastAsia="zh-CN"/>
              </w:rPr>
              <w:t>0</w:t>
            </w:r>
            <w:r>
              <w:rPr>
                <w:rFonts w:hint="default" w:ascii="Times New Roman" w:hAnsi="Times New Roman" w:eastAsia="黑体" w:cs="Times New Roman"/>
                <w:color w:val="000000"/>
                <w:kern w:val="0"/>
                <w:sz w:val="20"/>
                <w:szCs w:val="20"/>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173E7639">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0</w:t>
            </w:r>
          </w:p>
        </w:tc>
      </w:tr>
    </w:tbl>
    <w:p w14:paraId="49D4BA19">
      <w:pPr>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rPr>
      </w:pPr>
    </w:p>
    <w:p w14:paraId="178466E7">
      <w:pPr>
        <w:pStyle w:val="3"/>
        <w:keepNext/>
        <w:keepLines/>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cs="Times New Roman"/>
          <w:sz w:val="32"/>
          <w:szCs w:val="48"/>
          <w:lang w:val="en-US" w:eastAsia="zh-CN"/>
        </w:rPr>
      </w:pPr>
      <w:r>
        <w:rPr>
          <w:rFonts w:hint="default" w:ascii="Times New Roman" w:hAnsi="Times New Roman" w:cs="Times New Roman"/>
          <w:sz w:val="32"/>
          <w:szCs w:val="48"/>
          <w:lang w:val="en-US" w:eastAsia="zh-CN"/>
        </w:rPr>
        <w:t>五、存在的主要问题及改进情况</w:t>
      </w:r>
    </w:p>
    <w:p w14:paraId="0ED3560A">
      <w:pPr>
        <w:ind w:firstLine="640" w:firstLineChars="200"/>
        <w:rPr>
          <w:rFonts w:hint="eastAsia" w:ascii="楷体" w:hAnsi="楷体" w:eastAsia="楷体" w:cs="楷体"/>
          <w:sz w:val="32"/>
          <w:szCs w:val="40"/>
        </w:rPr>
      </w:pPr>
      <w:r>
        <w:rPr>
          <w:rFonts w:hint="eastAsia" w:ascii="楷体" w:hAnsi="楷体" w:eastAsia="楷体" w:cs="楷体"/>
          <w:sz w:val="32"/>
          <w:szCs w:val="40"/>
        </w:rPr>
        <w:t>（一）上一年度存在问题及改进情况。</w:t>
      </w:r>
    </w:p>
    <w:p w14:paraId="12107BF6">
      <w:pPr>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上一年度存在问题</w:t>
      </w:r>
      <w:r>
        <w:rPr>
          <w:rFonts w:hint="eastAsia" w:ascii="仿宋_GB2312" w:hAnsi="仿宋_GB2312" w:eastAsia="仿宋_GB2312" w:cs="仿宋_GB2312"/>
          <w:sz w:val="32"/>
          <w:szCs w:val="40"/>
        </w:rPr>
        <w:t>：一是政策性内容发布较少，解读质量不高。二是政府信息公开渠道单一。</w:t>
      </w:r>
    </w:p>
    <w:p w14:paraId="643F5562">
      <w:pPr>
        <w:pageBreakBefore w:val="0"/>
        <w:kinsoku/>
        <w:wordWrap/>
        <w:overflowPunct/>
        <w:topLinePunct w:val="0"/>
        <w:autoSpaceDE/>
        <w:autoSpaceDN/>
        <w:bidi w:val="0"/>
        <w:adjustRightInd/>
        <w:snapToGrid/>
        <w:spacing w:line="560" w:lineRule="exact"/>
        <w:ind w:firstLine="643" w:firstLineChars="200"/>
        <w:textAlignment w:val="auto"/>
        <w:rPr>
          <w:rFonts w:hint="default" w:ascii="仿宋_GB2312" w:hAnsi="Calibri" w:eastAsia="仿宋_GB2312" w:cs="仿宋_GB2312"/>
          <w:b w:val="0"/>
          <w:bCs w:val="0"/>
          <w:i w:val="0"/>
          <w:iCs w:val="0"/>
          <w:caps w:val="0"/>
          <w:color w:val="000000"/>
          <w:spacing w:val="0"/>
          <w:sz w:val="32"/>
          <w:szCs w:val="32"/>
          <w:shd w:val="clear" w:fill="FFFFFF"/>
        </w:rPr>
      </w:pPr>
      <w:r>
        <w:rPr>
          <w:rFonts w:hint="default" w:ascii="仿宋_GB2312" w:hAnsi="Calibri" w:eastAsia="仿宋_GB2312" w:cs="仿宋_GB2312"/>
          <w:b/>
          <w:bCs/>
          <w:i w:val="0"/>
          <w:iCs w:val="0"/>
          <w:caps w:val="0"/>
          <w:color w:val="000000"/>
          <w:spacing w:val="0"/>
          <w:sz w:val="32"/>
          <w:szCs w:val="32"/>
          <w:shd w:val="clear" w:fill="FFFFFF"/>
        </w:rPr>
        <w:t>改进情况：</w:t>
      </w:r>
      <w:r>
        <w:rPr>
          <w:rFonts w:hint="default" w:ascii="仿宋_GB2312" w:hAnsi="Calibri" w:eastAsia="仿宋_GB2312" w:cs="仿宋_GB2312"/>
          <w:b w:val="0"/>
          <w:bCs w:val="0"/>
          <w:i w:val="0"/>
          <w:iCs w:val="0"/>
          <w:caps w:val="0"/>
          <w:color w:val="000000"/>
          <w:spacing w:val="0"/>
          <w:sz w:val="32"/>
          <w:szCs w:val="32"/>
          <w:shd w:val="clear" w:fill="FFFFFF"/>
        </w:rPr>
        <w:t>一是</w:t>
      </w:r>
      <w:r>
        <w:rPr>
          <w:rFonts w:hint="eastAsia" w:ascii="仿宋_GB2312" w:hAnsi="Calibri" w:eastAsia="仿宋_GB2312" w:cs="仿宋_GB2312"/>
          <w:b w:val="0"/>
          <w:bCs w:val="0"/>
          <w:i w:val="0"/>
          <w:iCs w:val="0"/>
          <w:caps w:val="0"/>
          <w:color w:val="000000"/>
          <w:spacing w:val="0"/>
          <w:sz w:val="32"/>
          <w:szCs w:val="32"/>
          <w:shd w:val="clear" w:fill="FFFFFF"/>
          <w:lang w:val="en-US" w:eastAsia="zh-CN"/>
        </w:rPr>
        <w:t>通过</w:t>
      </w:r>
      <w:r>
        <w:rPr>
          <w:rFonts w:hint="default" w:ascii="仿宋_GB2312" w:hAnsi="Calibri" w:eastAsia="仿宋_GB2312" w:cs="仿宋_GB2312"/>
          <w:b w:val="0"/>
          <w:bCs w:val="0"/>
          <w:i w:val="0"/>
          <w:iCs w:val="0"/>
          <w:caps w:val="0"/>
          <w:color w:val="000000"/>
          <w:spacing w:val="0"/>
          <w:sz w:val="32"/>
          <w:szCs w:val="32"/>
          <w:shd w:val="clear" w:fill="FFFFFF"/>
        </w:rPr>
        <w:t>聚焦公共文化服务、文旅消费、市场监管、行政权力运行等领域，相关政策发布的数量提高，政务公开质量和实效全面提升。二是加强政府信息平台建设，</w:t>
      </w:r>
      <w:r>
        <w:rPr>
          <w:rFonts w:hint="eastAsia" w:ascii="仿宋_GB2312" w:hAnsi="Calibri" w:eastAsia="仿宋_GB2312" w:cs="仿宋_GB2312"/>
          <w:b w:val="0"/>
          <w:bCs w:val="0"/>
          <w:i w:val="0"/>
          <w:iCs w:val="0"/>
          <w:caps w:val="0"/>
          <w:color w:val="000000"/>
          <w:spacing w:val="0"/>
          <w:sz w:val="32"/>
          <w:szCs w:val="32"/>
          <w:shd w:val="clear" w:fill="FFFFFF"/>
          <w:lang w:val="en-US" w:eastAsia="zh-CN"/>
        </w:rPr>
        <w:t>充分</w:t>
      </w:r>
      <w:r>
        <w:rPr>
          <w:rFonts w:hint="default" w:ascii="仿宋_GB2312" w:hAnsi="Calibri" w:eastAsia="仿宋_GB2312" w:cs="仿宋_GB2312"/>
          <w:b w:val="0"/>
          <w:bCs w:val="0"/>
          <w:i w:val="0"/>
          <w:iCs w:val="0"/>
          <w:caps w:val="0"/>
          <w:color w:val="000000"/>
          <w:spacing w:val="0"/>
          <w:sz w:val="32"/>
          <w:szCs w:val="32"/>
          <w:shd w:val="clear" w:fill="FFFFFF"/>
        </w:rPr>
        <w:t>发挥</w:t>
      </w:r>
      <w:r>
        <w:rPr>
          <w:rFonts w:hint="eastAsia" w:ascii="仿宋_GB2312" w:hAnsi="Calibri" w:eastAsia="仿宋_GB2312" w:cs="仿宋_GB2312"/>
          <w:b w:val="0"/>
          <w:bCs w:val="0"/>
          <w:i w:val="0"/>
          <w:iCs w:val="0"/>
          <w:caps w:val="0"/>
          <w:color w:val="000000"/>
          <w:spacing w:val="0"/>
          <w:sz w:val="32"/>
          <w:szCs w:val="32"/>
          <w:shd w:val="clear" w:fill="FFFFFF"/>
          <w:lang w:eastAsia="zh-CN"/>
        </w:rPr>
        <w:t>“</w:t>
      </w:r>
      <w:r>
        <w:rPr>
          <w:rFonts w:hint="default" w:ascii="仿宋_GB2312" w:hAnsi="Calibri" w:eastAsia="仿宋_GB2312" w:cs="仿宋_GB2312"/>
          <w:b w:val="0"/>
          <w:bCs w:val="0"/>
          <w:i w:val="0"/>
          <w:iCs w:val="0"/>
          <w:caps w:val="0"/>
          <w:color w:val="000000"/>
          <w:spacing w:val="0"/>
          <w:sz w:val="32"/>
          <w:szCs w:val="32"/>
          <w:shd w:val="clear" w:fill="FFFFFF"/>
        </w:rPr>
        <w:t>舒城县图书馆</w:t>
      </w:r>
      <w:r>
        <w:rPr>
          <w:rFonts w:hint="eastAsia" w:ascii="仿宋_GB2312" w:hAnsi="Calibri" w:eastAsia="仿宋_GB2312" w:cs="仿宋_GB2312"/>
          <w:b w:val="0"/>
          <w:bCs w:val="0"/>
          <w:i w:val="0"/>
          <w:iCs w:val="0"/>
          <w:caps w:val="0"/>
          <w:color w:val="000000"/>
          <w:spacing w:val="0"/>
          <w:sz w:val="32"/>
          <w:szCs w:val="32"/>
          <w:shd w:val="clear" w:fill="FFFFFF"/>
          <w:lang w:eastAsia="zh-CN"/>
        </w:rPr>
        <w:t>”“</w:t>
      </w:r>
      <w:r>
        <w:rPr>
          <w:rFonts w:hint="default" w:ascii="仿宋_GB2312" w:hAnsi="Calibri" w:eastAsia="仿宋_GB2312" w:cs="仿宋_GB2312"/>
          <w:b w:val="0"/>
          <w:bCs w:val="0"/>
          <w:i w:val="0"/>
          <w:iCs w:val="0"/>
          <w:caps w:val="0"/>
          <w:color w:val="000000"/>
          <w:spacing w:val="0"/>
          <w:sz w:val="32"/>
          <w:szCs w:val="32"/>
          <w:shd w:val="clear" w:fill="FFFFFF"/>
        </w:rPr>
        <w:t>舒城县文化馆</w:t>
      </w:r>
      <w:r>
        <w:rPr>
          <w:rFonts w:hint="eastAsia" w:ascii="仿宋_GB2312" w:hAnsi="Calibri" w:eastAsia="仿宋_GB2312" w:cs="仿宋_GB2312"/>
          <w:b w:val="0"/>
          <w:bCs w:val="0"/>
          <w:i w:val="0"/>
          <w:iCs w:val="0"/>
          <w:caps w:val="0"/>
          <w:color w:val="000000"/>
          <w:spacing w:val="0"/>
          <w:sz w:val="32"/>
          <w:szCs w:val="32"/>
          <w:shd w:val="clear" w:fill="FFFFFF"/>
          <w:lang w:eastAsia="zh-CN"/>
        </w:rPr>
        <w:t>”</w:t>
      </w:r>
      <w:r>
        <w:rPr>
          <w:rFonts w:hint="default" w:ascii="仿宋_GB2312" w:hAnsi="Calibri" w:eastAsia="仿宋_GB2312" w:cs="仿宋_GB2312"/>
          <w:b w:val="0"/>
          <w:bCs w:val="0"/>
          <w:i w:val="0"/>
          <w:iCs w:val="0"/>
          <w:caps w:val="0"/>
          <w:color w:val="000000"/>
          <w:spacing w:val="0"/>
          <w:sz w:val="32"/>
          <w:szCs w:val="32"/>
          <w:shd w:val="clear" w:fill="FFFFFF"/>
        </w:rPr>
        <w:t>微信公众号等新媒体作用，精准推送广大群众密切关注的热点信息。</w:t>
      </w:r>
    </w:p>
    <w:p w14:paraId="5915C03C">
      <w:pPr>
        <w:ind w:firstLine="640" w:firstLineChars="200"/>
        <w:rPr>
          <w:rFonts w:hint="eastAsia" w:ascii="楷体" w:hAnsi="楷体" w:eastAsia="楷体" w:cs="楷体"/>
          <w:sz w:val="32"/>
          <w:szCs w:val="40"/>
        </w:rPr>
      </w:pPr>
      <w:r>
        <w:rPr>
          <w:rFonts w:hint="eastAsia" w:ascii="楷体" w:hAnsi="楷体" w:eastAsia="楷体" w:cs="楷体"/>
          <w:sz w:val="32"/>
          <w:szCs w:val="40"/>
        </w:rPr>
        <w:t>（二）本年度存在的主要问题及下一步打算。</w:t>
      </w:r>
    </w:p>
    <w:p w14:paraId="55C217F8">
      <w:pPr>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存在问题：</w:t>
      </w:r>
      <w:r>
        <w:rPr>
          <w:rFonts w:hint="eastAsia" w:ascii="仿宋_GB2312" w:hAnsi="仿宋_GB2312" w:eastAsia="仿宋_GB2312" w:cs="仿宋_GB2312"/>
          <w:sz w:val="32"/>
          <w:szCs w:val="40"/>
        </w:rPr>
        <w:t>一是主动公开信息质量不够高，错敏字把关不足</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二是政策解读形式不够丰富。</w:t>
      </w:r>
    </w:p>
    <w:p w14:paraId="34F2721F">
      <w:pPr>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下一步打算：</w:t>
      </w:r>
      <w:r>
        <w:rPr>
          <w:rFonts w:hint="eastAsia" w:ascii="仿宋_GB2312" w:hAnsi="仿宋_GB2312" w:eastAsia="仿宋_GB2312" w:cs="仿宋_GB2312"/>
          <w:sz w:val="32"/>
          <w:szCs w:val="40"/>
        </w:rPr>
        <w:t>一是规范公开程序。加强政务公开工作各项工作机制的完善，进一步规范政务公开工作流程，严格落实“三审三校”制度，规范信息公开内容，使政务公开工作在制度化、规范化方面有新的突破。二是丰富政策解读。在现有基础上进一步丰富政策性文件解读形式，通过文字、图解、视频等形式对政策文件进行多角度、多层次解读，使政策解读更加生动有趣，提高政策解读的可读性和群众的知晓率。</w:t>
      </w:r>
    </w:p>
    <w:p w14:paraId="50B92585">
      <w:pPr>
        <w:pStyle w:val="3"/>
        <w:keepNext/>
        <w:keepLines/>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cs="Times New Roman"/>
          <w:sz w:val="32"/>
          <w:szCs w:val="48"/>
          <w:lang w:val="en-US" w:eastAsia="zh-CN"/>
        </w:rPr>
      </w:pPr>
      <w:r>
        <w:rPr>
          <w:rFonts w:hint="default" w:ascii="Times New Roman" w:hAnsi="Times New Roman" w:cs="Times New Roman"/>
          <w:sz w:val="32"/>
          <w:szCs w:val="48"/>
          <w:lang w:val="en-US" w:eastAsia="zh-CN"/>
        </w:rPr>
        <w:t>六、其他需要报告的事项</w:t>
      </w:r>
    </w:p>
    <w:p w14:paraId="1EE533B1">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按照《国务院办公厅关于印发〈政府信息公开信息处理费管理办法〉 的通知》（国办函〔2020〕109号）规定的按件、按量收费标准，本年度没有产生信息公开处理费”。</w:t>
      </w:r>
    </w:p>
    <w:sectPr>
      <w:footerReference r:id="rId3" w:type="default"/>
      <w:footerReference r:id="rId4" w:type="even"/>
      <w:pgSz w:w="11906" w:h="16838"/>
      <w:pgMar w:top="1814" w:right="1474" w:bottom="1264" w:left="1588" w:header="851" w:footer="102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520C7">
    <w:pPr>
      <w:widowControl w:val="0"/>
      <w:tabs>
        <w:tab w:val="center" w:pos="4153"/>
        <w:tab w:val="right" w:pos="8306"/>
      </w:tabs>
      <w:snapToGrid w:val="0"/>
      <w:jc w:val="righ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84D51CC">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CeTlmS&#10;7QEAANUDAAAOAAAAAAAAAAEAIAAAAB4BAABkcnMvZTJvRG9jLnhtbFBLBQYAAAAABgAGAFkBAAB9&#10;BQAAAAA=&#10;">
              <v:fill on="f" focussize="0,0"/>
              <v:stroke on="f"/>
              <v:imagedata o:title=""/>
              <o:lock v:ext="edit" aspectratio="f"/>
              <v:textbox inset="0mm,0mm,0mm,0mm" style="mso-fit-shape-to-text:t;">
                <w:txbxContent>
                  <w:p w14:paraId="684D51CC">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v:textbox>
            </v:shape>
          </w:pict>
        </mc:Fallback>
      </mc:AlternateContent>
    </w:r>
  </w:p>
  <w:p w14:paraId="2A442F57">
    <w:pPr>
      <w:rPr>
        <w:rFonts w:ascii="仿宋_GB2312" w:hAnsi="Times New Roman" w:eastAsia="仿宋_GB2312" w:cs="Times New Roman"/>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3B631">
    <w:pPr>
      <w:widowControl w:val="0"/>
      <w:tabs>
        <w:tab w:val="center" w:pos="4153"/>
        <w:tab w:val="right" w:pos="8306"/>
      </w:tabs>
      <w:snapToGrid w:val="0"/>
      <w:ind w:right="360" w:firstLine="360"/>
      <w:jc w:val="lef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82F2C51">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RT/Bo&#10;7QEAANUDAAAOAAAAAAAAAAEAIAAAAB4BAABkcnMvZTJvRG9jLnhtbFBLBQYAAAAABgAGAFkBAAB9&#10;BQAAAAA=&#10;">
              <v:fill on="f" focussize="0,0"/>
              <v:stroke on="f"/>
              <v:imagedata o:title=""/>
              <o:lock v:ext="edit" aspectratio="f"/>
              <v:textbox inset="0mm,0mm,0mm,0mm" style="mso-fit-shape-to-text:t;">
                <w:txbxContent>
                  <w:p w14:paraId="382F2C51">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v:textbox>
            </v:shape>
          </w:pict>
        </mc:Fallback>
      </mc:AlternateContent>
    </w:r>
  </w:p>
  <w:p w14:paraId="38F8D623">
    <w:pPr>
      <w:rPr>
        <w:rFonts w:ascii="仿宋_GB2312" w:hAnsi="Times New Roman" w:eastAsia="仿宋_GB2312" w:cs="Times New Roman"/>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35D7F"/>
    <w:rsid w:val="178728AA"/>
    <w:rsid w:val="27DE0696"/>
    <w:rsid w:val="2B712315"/>
    <w:rsid w:val="484C7D5F"/>
    <w:rsid w:val="52EA3518"/>
    <w:rsid w:val="5648554A"/>
    <w:rsid w:val="5A862E7C"/>
    <w:rsid w:val="61744FEB"/>
    <w:rsid w:val="6CEA1A52"/>
    <w:rsid w:val="787661B8"/>
    <w:rsid w:val="7E4A2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ind w:firstLine="0" w:firstLineChars="0"/>
      <w:jc w:val="left"/>
      <w:outlineLvl w:val="0"/>
    </w:pPr>
    <w:rPr>
      <w:rFonts w:hint="eastAsia" w:ascii="宋体" w:hAnsi="宋体" w:eastAsia="方正小标宋简体" w:cs="宋体"/>
      <w:bCs/>
      <w:kern w:val="44"/>
      <w:sz w:val="44"/>
      <w:szCs w:val="48"/>
      <w:lang w:bidi="ar"/>
    </w:rPr>
  </w:style>
  <w:style w:type="paragraph" w:styleId="3">
    <w:name w:val="heading 2"/>
    <w:basedOn w:val="1"/>
    <w:next w:val="1"/>
    <w:unhideWhenUsed/>
    <w:qFormat/>
    <w:uiPriority w:val="0"/>
    <w:pPr>
      <w:keepNext/>
      <w:keepLines/>
      <w:spacing w:line="640" w:lineRule="exact"/>
      <w:ind w:firstLine="880" w:firstLineChars="200"/>
      <w:outlineLvl w:val="1"/>
    </w:pPr>
    <w:rPr>
      <w:rFonts w:eastAsia="黑体" w:asciiTheme="majorAscii" w:hAnsiTheme="majorAscii" w:cstheme="majorBidi"/>
      <w:bCs/>
      <w:szCs w:val="32"/>
    </w:rPr>
  </w:style>
  <w:style w:type="paragraph" w:styleId="4">
    <w:name w:val="heading 3"/>
    <w:basedOn w:val="1"/>
    <w:next w:val="1"/>
    <w:autoRedefine/>
    <w:unhideWhenUsed/>
    <w:qFormat/>
    <w:uiPriority w:val="0"/>
    <w:pPr>
      <w:keepNext/>
      <w:keepLines/>
      <w:spacing w:beforeLines="0" w:beforeAutospacing="0" w:afterLines="0" w:afterAutospacing="0" w:line="640" w:lineRule="exact"/>
      <w:ind w:firstLine="880" w:firstLineChars="200"/>
      <w:outlineLvl w:val="2"/>
    </w:pPr>
    <w:rPr>
      <w:rFonts w:eastAsia="楷体" w:cs="Times New Roman"/>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rFonts w:cs="Times New Roman"/>
      <w:kern w:val="0"/>
      <w:sz w:val="32"/>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2796</Words>
  <Characters>2890</Characters>
  <Lines>0</Lines>
  <Paragraphs>0</Paragraphs>
  <TotalTime>4</TotalTime>
  <ScaleCrop>false</ScaleCrop>
  <LinksUpToDate>false</LinksUpToDate>
  <CharactersWithSpaces>2916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张蝶</cp:lastModifiedBy>
  <dcterms:modified xsi:type="dcterms:W3CDTF">2025-06-27T06:49:27Z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04A28C96CCF74DBF94FF76D34D4B6988_13</vt:lpwstr>
  </property>
  <property fmtid="{D5CDD505-2E9C-101B-9397-08002B2CF9AE}" pid="4" name="KSOTemplateDocerSaveRecord">
    <vt:lpwstr>eyJoZGlkIjoiMDc3ZWFjN2E2ZGI1NGFmZjUwYTIxNWJjYWNjYWM0MGEiLCJ1c2VySWQiOiIxNTMwNDM2MjAwIn0=</vt:lpwstr>
  </property>
</Properties>
</file>