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方正小标宋_GBK" w:hAnsi="方正小标宋_GBK"/>
          <w:color w:val="000000"/>
          <w:sz w:val="40"/>
          <w:szCs w:val="40"/>
        </w:rPr>
      </w:pPr>
      <w:r>
        <w:rPr>
          <w:rFonts w:ascii="方正小标宋_GBK" w:hAnsi="方正小标宋_GBK"/>
          <w:color w:val="000000"/>
          <w:sz w:val="40"/>
          <w:szCs w:val="40"/>
        </w:rPr>
        <w:t xml:space="preserve"> </w:t>
      </w:r>
    </w:p>
    <w:p>
      <w:pPr>
        <w:spacing w:line="560" w:lineRule="exact"/>
        <w:jc w:val="center"/>
        <w:rPr>
          <w:rFonts w:eastAsia="方正大标宋简体"/>
          <w:color w:val="000000"/>
          <w:sz w:val="40"/>
          <w:szCs w:val="40"/>
        </w:rPr>
      </w:pPr>
      <w:r>
        <w:rPr>
          <w:rFonts w:eastAsia="方正大标宋简体"/>
          <w:color w:val="000000"/>
          <w:sz w:val="40"/>
          <w:szCs w:val="40"/>
        </w:rPr>
        <w:t>舒城县2024-2025学年度县级优秀学生、优秀</w:t>
      </w:r>
    </w:p>
    <w:p>
      <w:pPr>
        <w:spacing w:line="560" w:lineRule="exact"/>
        <w:jc w:val="center"/>
        <w:rPr>
          <w:rFonts w:eastAsia="方正大标宋简体"/>
          <w:color w:val="000000"/>
        </w:rPr>
      </w:pPr>
      <w:r>
        <w:rPr>
          <w:rFonts w:eastAsia="方正大标宋简体"/>
          <w:color w:val="000000"/>
          <w:sz w:val="40"/>
          <w:szCs w:val="40"/>
        </w:rPr>
        <w:t>学生干部、优秀班主任、先进班集体名额分配表</w:t>
      </w:r>
    </w:p>
    <w:tbl>
      <w:tblPr>
        <w:tblStyle w:val="2"/>
        <w:tblW w:w="9165" w:type="dxa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590"/>
        <w:gridCol w:w="600"/>
        <w:gridCol w:w="465"/>
        <w:gridCol w:w="585"/>
        <w:gridCol w:w="460"/>
        <w:gridCol w:w="534"/>
        <w:gridCol w:w="556"/>
        <w:gridCol w:w="556"/>
        <w:gridCol w:w="557"/>
        <w:gridCol w:w="516"/>
        <w:gridCol w:w="517"/>
        <w:gridCol w:w="579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  <w:p>
            <w:pPr>
              <w:widowControl/>
              <w:jc w:val="left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  <w:p>
            <w:pPr>
              <w:widowControl/>
              <w:jc w:val="left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优秀学生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优秀学生干部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优秀班主任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先进班集体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  <w:p>
            <w:pPr>
              <w:widowControl/>
              <w:jc w:val="left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幼儿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城关中心校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105" w:firstLineChars="50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城关二小教育集团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城关三小教育集团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桃溪中心校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孔集中心校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千人桥中心校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重阳中学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杭埠中心校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舒三中学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百神庙中心校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白马宕中学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周公渡中学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舒茶中心校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南港中心校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南港沙埂初中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西衖中心校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马河口中心校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春秋中心校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春秋文翁中学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干汊河中心校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柏林石岗中学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柏林中心校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棠树中心校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棠树八里中学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张母桥中心校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万佛湖中心校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五显中心校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阙店中心校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阙店杜店中学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汤池中心校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城冲中心校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河棚中心校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庐镇中心校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庐镇洪庙中学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高峰中学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高峰中心校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山七中心校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山七燕春中学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平田中心校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晓天中心校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查湾中心校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5"/>
                <w:szCs w:val="15"/>
              </w:rPr>
              <w:t>含幼、小、中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舒城实验小学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舒师附小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舒城二中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舒城三中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舒茶初中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舒城一中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千人桥中学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桃溪中学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汤池中学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干汊河中学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晓天中学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舒城职业学校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范店七星学校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晓天七星学校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舒城育才学校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舒州学校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舒城仁峰学校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南港实验学校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新滨湖寿春学校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特教学校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eastAsia="宋体"/>
          <w:color w:val="000000"/>
        </w:rPr>
      </w:pPr>
    </w:p>
    <w:p>
      <w:pPr>
        <w:spacing w:line="52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 xml:space="preserve"> </w:t>
      </w:r>
    </w:p>
    <w:p>
      <w:pPr>
        <w:spacing w:line="52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 xml:space="preserve"> </w:t>
      </w:r>
    </w:p>
    <w:p>
      <w:pPr>
        <w:spacing w:line="520" w:lineRule="exact"/>
        <w:rPr>
          <w:rFonts w:hint="eastAsia" w:ascii="黑体" w:hAnsi="黑体"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8"/>
          <w:szCs w:val="28"/>
        </w:rPr>
        <w:t xml:space="preserve"> </w:t>
      </w:r>
    </w:p>
    <w:p>
      <w:pPr>
        <w:spacing w:line="520" w:lineRule="exact"/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33811"/>
    <w:rsid w:val="2B0D4950"/>
    <w:rsid w:val="2D936F61"/>
    <w:rsid w:val="539F0DA2"/>
    <w:rsid w:val="7C53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2024-05-30T02:11:00Z</dcterms:created>
  <dc:creator>HP</dc:creator>
  <cp:lastModifiedBy>HP</cp:lastModifiedBy>
  <dcterms:modified xsi:type="dcterms:W3CDTF">2025-09-25T08:51:08Z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