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6A155">
      <w:pPr>
        <w:keepNext w:val="0"/>
        <w:keepLines w:val="0"/>
        <w:pageBreakBefore w:val="0"/>
        <w:kinsoku/>
        <w:wordWrap/>
        <w:overflowPunct/>
        <w:topLinePunct w:val="0"/>
        <w:autoSpaceDE/>
        <w:autoSpaceDN/>
        <w:bidi w:val="0"/>
        <w:adjustRightInd/>
        <w:snapToGrid/>
        <w:spacing w:line="560" w:lineRule="exact"/>
        <w:ind w:firstLine="880" w:firstLineChars="200"/>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舒城县旅游事业发展中心202</w:t>
      </w:r>
      <w:r>
        <w:rPr>
          <w:rFonts w:hint="eastAsia" w:ascii="方正公文小标宋" w:hAnsi="方正公文小标宋" w:eastAsia="方正公文小标宋" w:cs="方正公文小标宋"/>
          <w:sz w:val="44"/>
          <w:szCs w:val="44"/>
          <w:lang w:val="en-US" w:eastAsia="zh-CN"/>
        </w:rPr>
        <w:t>5</w:t>
      </w:r>
      <w:r>
        <w:rPr>
          <w:rFonts w:hint="eastAsia" w:ascii="方正公文小标宋" w:hAnsi="方正公文小标宋" w:eastAsia="方正公文小标宋" w:cs="方正公文小标宋"/>
          <w:sz w:val="44"/>
          <w:szCs w:val="44"/>
        </w:rPr>
        <w:t>年政府信息公开工作年度报告</w:t>
      </w:r>
    </w:p>
    <w:p w14:paraId="3820D5C9">
      <w:pPr>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4A522F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根据新修订《中华人民共和国政府信息公开条例》（以下简称《条例》）精神，结合各级政府关于政务公开工作的具体要求,现编制我中心202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政府信息公开工作年度报告。本报告包括总体情况、主动公开政府信息情况、收到和处理政府信息公开申请情况、政府信息公开行政复议、行政诉讼情况、存在的主要问题及改进情况、其他需要报告的事项等六个部分并附相关指标统计表（统计期限为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年1月1日至202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年12月31日）。本报告可在舒城县人民政府网站——旅游中心信息公开平台下载。如对本报告有任何疑问，请与舒城县旅游事业发展中心联系（地址：城关镇</w:t>
      </w:r>
      <w:r>
        <w:rPr>
          <w:rFonts w:hint="eastAsia" w:ascii="方正仿宋_GB2312" w:hAnsi="方正仿宋_GB2312" w:eastAsia="方正仿宋_GB2312" w:cs="方正仿宋_GB2312"/>
          <w:sz w:val="32"/>
          <w:szCs w:val="32"/>
          <w:lang w:eastAsia="zh-CN"/>
        </w:rPr>
        <w:t>梅河路住房和城乡建设局</w:t>
      </w:r>
      <w:r>
        <w:rPr>
          <w:rFonts w:hint="eastAsia" w:ascii="方正仿宋_GB2312" w:hAnsi="方正仿宋_GB2312" w:eastAsia="方正仿宋_GB2312" w:cs="方正仿宋_GB2312"/>
          <w:sz w:val="32"/>
          <w:szCs w:val="32"/>
        </w:rPr>
        <w:t>办公楼二楼；邮编：231300；联系电话：0564-8629690）。</w:t>
      </w:r>
    </w:p>
    <w:p w14:paraId="0B4916D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一、总体情况</w:t>
      </w:r>
    </w:p>
    <w:p w14:paraId="6C233A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kern w:val="2"/>
          <w:sz w:val="32"/>
          <w:szCs w:val="32"/>
          <w:lang w:val="en-US" w:eastAsia="zh-CN" w:bidi="ar-SA"/>
        </w:rPr>
        <w:t>（一）</w:t>
      </w:r>
      <w:r>
        <w:rPr>
          <w:rFonts w:hint="eastAsia" w:ascii="方正仿宋_GB2312" w:hAnsi="方正仿宋_GB2312" w:eastAsia="方正仿宋_GB2312" w:cs="方正仿宋_GB2312"/>
          <w:sz w:val="32"/>
          <w:szCs w:val="32"/>
          <w:lang w:val="en-US" w:eastAsia="zh-CN"/>
        </w:rPr>
        <w:t>主动公开情况</w:t>
      </w:r>
    </w:p>
    <w:p w14:paraId="1A9051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县旅游中心扎实推进政务公开工作，全面贯彻五方面重点内容。在发展规划公开方面，主动公开《舒城县全域旅游高质量发展三年攻坚行动方案(2025-2027年)》、大万佛山区域规划等文件，清晰呈现“三色舒城”建设及全域旅游发展方向与路径。在项目建设公开方面，全面公开重点旅游项目的投资规模、建设内容及推进进度，让社会各界及时了解文旅基础设施建设与产业发展动态。在决策公开与机制建设方面，将重大决策预公开贯穿文旅工作全过程，全年开展3次民意征集活动；动态调整权责清单，规范依申请公开流程；健全督查考核机制，将政务公开纳入部门年度目标管理，形成常态长效监督体系。在服务与渠道公开方面，通过数字平台优化与设施升级，依托“舒城文旅”新媒体矩阵发布信息。在信息规范与效能提升方面，强化信息发布全流程审查，全年清理废止过时涉旅文件4份、整改敏感表述12处；实施“全员轮训”计划，开展3场次业务培训，提升政务公开工作规范化水平与队伍专业能力。</w:t>
      </w:r>
    </w:p>
    <w:p w14:paraId="69BA422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kern w:val="2"/>
          <w:sz w:val="32"/>
          <w:szCs w:val="32"/>
          <w:lang w:val="en-US" w:eastAsia="zh-CN" w:bidi="ar-SA"/>
        </w:rPr>
        <w:t>（二）</w:t>
      </w:r>
      <w:r>
        <w:rPr>
          <w:rFonts w:hint="eastAsia" w:ascii="方正仿宋_GB2312" w:hAnsi="方正仿宋_GB2312" w:eastAsia="方正仿宋_GB2312" w:cs="方正仿宋_GB2312"/>
          <w:sz w:val="32"/>
          <w:szCs w:val="32"/>
          <w:lang w:val="en-US" w:eastAsia="zh-CN"/>
        </w:rPr>
        <w:t>依申请公开</w:t>
      </w:r>
    </w:p>
    <w:p w14:paraId="6567657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我中心高度重视依申请公开工作，严格按照政府信息依申请公开制度规范开展答复工作，按照“快、优、实”要求，依法、依规、及时、准确回复信息申请。2025年我中心未收到公民或者法人依申请公开申请，全年无因政府信息公开引发的行政复议、行政诉讼。</w:t>
      </w:r>
    </w:p>
    <w:p w14:paraId="057A872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kern w:val="2"/>
          <w:sz w:val="32"/>
          <w:szCs w:val="32"/>
          <w:lang w:val="en-US" w:eastAsia="zh-CN" w:bidi="ar-SA"/>
        </w:rPr>
        <w:t>（三）</w:t>
      </w:r>
      <w:r>
        <w:rPr>
          <w:rFonts w:hint="eastAsia" w:ascii="方正仿宋_GB2312" w:hAnsi="方正仿宋_GB2312" w:eastAsia="方正仿宋_GB2312" w:cs="方正仿宋_GB2312"/>
          <w:sz w:val="32"/>
          <w:szCs w:val="32"/>
          <w:lang w:val="en-US" w:eastAsia="zh-CN"/>
        </w:rPr>
        <w:t>政府信息管理</w:t>
      </w:r>
    </w:p>
    <w:p w14:paraId="1DA4E1F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进一步加强信息源头管理，严格落实政府信息公开保密审查制度，严格执行“三审三校”信息审核发布程序，其他文件按照规范性文件公开格式进行调整，确保公开信息依法、及时、全面、准确和合理；梳理政府信息公开指南，做好重点领域信息公开。</w:t>
      </w:r>
    </w:p>
    <w:p w14:paraId="3B3A245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kern w:val="2"/>
          <w:sz w:val="32"/>
          <w:szCs w:val="32"/>
          <w:lang w:val="en-US" w:eastAsia="zh-CN" w:bidi="ar-SA"/>
        </w:rPr>
        <w:t>（四）</w:t>
      </w:r>
      <w:r>
        <w:rPr>
          <w:rFonts w:hint="eastAsia" w:ascii="方正仿宋_GB2312" w:hAnsi="方正仿宋_GB2312" w:eastAsia="方正仿宋_GB2312" w:cs="方正仿宋_GB2312"/>
          <w:sz w:val="32"/>
          <w:szCs w:val="32"/>
          <w:lang w:val="en-US" w:eastAsia="zh-CN"/>
        </w:rPr>
        <w:t>政府信息公开平台建设情况</w:t>
      </w:r>
    </w:p>
    <w:p w14:paraId="68787D3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度，我中心加强信息化建设，以微信抖音小红书等政务新媒体为重要载体，及时主动发布政务公开相关信息，围绕文旅资讯、游玩攻略、活动预告等群众关心的热点话题，发布“主动回应”信息43条。全年以来官方抖音号“舒城文旅”共累计发布视频174条，小红书全年累计投稿29篇，微信视频号累计发布187条。</w:t>
      </w:r>
    </w:p>
    <w:p w14:paraId="53F06AA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kern w:val="2"/>
          <w:sz w:val="32"/>
          <w:szCs w:val="32"/>
          <w:lang w:val="en-US" w:eastAsia="zh-CN" w:bidi="ar-SA"/>
        </w:rPr>
        <w:t>（五）</w:t>
      </w:r>
      <w:r>
        <w:rPr>
          <w:rFonts w:hint="eastAsia" w:ascii="方正仿宋_GB2312" w:hAnsi="方正仿宋_GB2312" w:eastAsia="方正仿宋_GB2312" w:cs="方正仿宋_GB2312"/>
          <w:sz w:val="32"/>
          <w:szCs w:val="32"/>
          <w:lang w:val="en-US" w:eastAsia="zh-CN"/>
        </w:rPr>
        <w:t>监督保障</w:t>
      </w:r>
    </w:p>
    <w:p w14:paraId="0B05A14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kern w:val="2"/>
          <w:sz w:val="32"/>
          <w:szCs w:val="32"/>
          <w:lang w:val="en-US" w:eastAsia="zh-CN" w:bidi="ar-SA"/>
        </w:rPr>
        <w:t>一是加强专题培训，积极参加县政务公开办组织的业务培训，提高政务公开质量。二是建立责任清晰、职责明确的信息审核机制，安排1名工作人员专门负责信息公开工作的收集、审核和发布。三是根据政府信息公开测评结果反馈情况，规定时间内及时整改，并接受各单位和群众的社会监督、社会评议。</w:t>
      </w:r>
    </w:p>
    <w:p w14:paraId="23075BC7">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textAlignment w:val="auto"/>
        <w:rPr>
          <w:rFonts w:hint="eastAsia" w:ascii="黑体" w:hAnsi="宋体" w:eastAsia="黑体" w:cs="黑体"/>
          <w:i w:val="0"/>
          <w:iCs w:val="0"/>
          <w:caps w:val="0"/>
          <w:color w:val="333333"/>
          <w:spacing w:val="0"/>
          <w:sz w:val="32"/>
          <w:szCs w:val="32"/>
          <w:lang w:val="en-US" w:eastAsia="zh-CN"/>
        </w:rPr>
      </w:pPr>
      <w:r>
        <w:rPr>
          <w:rFonts w:hint="eastAsia" w:ascii="黑体" w:hAnsi="宋体" w:eastAsia="黑体" w:cs="黑体"/>
          <w:i w:val="0"/>
          <w:iCs w:val="0"/>
          <w:caps w:val="0"/>
          <w:color w:val="333333"/>
          <w:spacing w:val="0"/>
          <w:sz w:val="32"/>
          <w:szCs w:val="32"/>
          <w:lang w:val="en-US" w:eastAsia="zh-CN"/>
        </w:rPr>
        <w:t>主动公开政府信息情况</w:t>
      </w:r>
    </w:p>
    <w:p w14:paraId="0BF6170C">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黑体" w:hAnsi="宋体" w:eastAsia="黑体" w:cs="黑体"/>
          <w:i w:val="0"/>
          <w:iCs w:val="0"/>
          <w:caps w:val="0"/>
          <w:color w:val="333333"/>
          <w:spacing w:val="0"/>
          <w:sz w:val="32"/>
          <w:szCs w:val="32"/>
          <w:lang w:val="en-US" w:eastAsia="zh-CN"/>
        </w:rPr>
      </w:pPr>
    </w:p>
    <w:tbl>
      <w:tblPr>
        <w:tblStyle w:val="4"/>
        <w:tblW w:w="9740" w:type="dxa"/>
        <w:jc w:val="center"/>
        <w:tblLayout w:type="fixed"/>
        <w:tblCellMar>
          <w:top w:w="0" w:type="dxa"/>
          <w:left w:w="0" w:type="dxa"/>
          <w:bottom w:w="0" w:type="dxa"/>
          <w:right w:w="0" w:type="dxa"/>
        </w:tblCellMar>
      </w:tblPr>
      <w:tblGrid>
        <w:gridCol w:w="2435"/>
        <w:gridCol w:w="2435"/>
        <w:gridCol w:w="2435"/>
        <w:gridCol w:w="2435"/>
      </w:tblGrid>
      <w:tr w14:paraId="65DDD646">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785CDDE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第二十条第（一）项</w:t>
            </w:r>
          </w:p>
        </w:tc>
      </w:tr>
      <w:tr w14:paraId="25658F62">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44C9C36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信息内容</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1E03E06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本年制发件数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28209F2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本年废止件数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75D340C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现行有效件数</w:t>
            </w:r>
          </w:p>
        </w:tc>
      </w:tr>
      <w:tr w14:paraId="54EC9BC6">
        <w:tblPrEx>
          <w:tblCellMar>
            <w:top w:w="0" w:type="dxa"/>
            <w:left w:w="0" w:type="dxa"/>
            <w:bottom w:w="0" w:type="dxa"/>
            <w:right w:w="0" w:type="dxa"/>
          </w:tblCellMar>
        </w:tblPrEx>
        <w:trPr>
          <w:trHeight w:val="459"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69417E0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规章</w:t>
            </w:r>
          </w:p>
        </w:tc>
        <w:tc>
          <w:tcPr>
            <w:tcW w:w="2435" w:type="dxa"/>
            <w:tcBorders>
              <w:top w:val="nil"/>
              <w:left w:val="nil"/>
              <w:bottom w:val="single" w:color="auto" w:sz="8" w:space="0"/>
              <w:right w:val="single" w:color="auto" w:sz="8" w:space="0"/>
            </w:tcBorders>
            <w:tcMar>
              <w:left w:w="57" w:type="dxa"/>
              <w:right w:w="57" w:type="dxa"/>
            </w:tcMar>
            <w:vAlign w:val="center"/>
          </w:tcPr>
          <w:p w14:paraId="48DAEEB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0</w:t>
            </w:r>
            <w:r>
              <w:rPr>
                <w:rFonts w:hint="eastAsia" w:ascii="宋体" w:hAnsi="宋体" w:eastAsia="宋体" w:cs="宋体"/>
                <w:color w:val="000000"/>
                <w:kern w:val="0"/>
                <w:sz w:val="20"/>
                <w:szCs w:val="20"/>
              </w:rPr>
              <w:t>　</w:t>
            </w:r>
          </w:p>
        </w:tc>
        <w:tc>
          <w:tcPr>
            <w:tcW w:w="2435" w:type="dxa"/>
            <w:tcBorders>
              <w:top w:val="nil"/>
              <w:left w:val="nil"/>
              <w:bottom w:val="single" w:color="auto" w:sz="8" w:space="0"/>
              <w:right w:val="single" w:color="auto" w:sz="8" w:space="0"/>
            </w:tcBorders>
            <w:tcMar>
              <w:left w:w="57" w:type="dxa"/>
              <w:right w:w="57" w:type="dxa"/>
            </w:tcMar>
            <w:vAlign w:val="center"/>
          </w:tcPr>
          <w:p w14:paraId="4D8BE84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0</w:t>
            </w:r>
          </w:p>
        </w:tc>
        <w:tc>
          <w:tcPr>
            <w:tcW w:w="2435" w:type="dxa"/>
            <w:tcBorders>
              <w:top w:val="nil"/>
              <w:left w:val="nil"/>
              <w:bottom w:val="single" w:color="auto" w:sz="8" w:space="0"/>
              <w:right w:val="single" w:color="auto" w:sz="8" w:space="0"/>
            </w:tcBorders>
            <w:tcMar>
              <w:left w:w="57" w:type="dxa"/>
              <w:right w:w="57" w:type="dxa"/>
            </w:tcMar>
            <w:vAlign w:val="center"/>
          </w:tcPr>
          <w:p w14:paraId="0903FFD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0</w:t>
            </w:r>
          </w:p>
        </w:tc>
      </w:tr>
      <w:tr w14:paraId="4697D544">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7BCDABC3">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行政规范性文件</w:t>
            </w:r>
          </w:p>
        </w:tc>
        <w:tc>
          <w:tcPr>
            <w:tcW w:w="2435" w:type="dxa"/>
            <w:tcBorders>
              <w:top w:val="nil"/>
              <w:left w:val="nil"/>
              <w:bottom w:val="single" w:color="auto" w:sz="8" w:space="0"/>
              <w:right w:val="single" w:color="auto" w:sz="8" w:space="0"/>
            </w:tcBorders>
            <w:tcMar>
              <w:left w:w="57" w:type="dxa"/>
              <w:right w:w="57" w:type="dxa"/>
            </w:tcMar>
            <w:vAlign w:val="center"/>
          </w:tcPr>
          <w:p w14:paraId="7AFE68A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0</w:t>
            </w:r>
            <w:r>
              <w:rPr>
                <w:rFonts w:hint="eastAsia" w:ascii="宋体" w:hAnsi="宋体" w:eastAsia="宋体" w:cs="宋体"/>
                <w:color w:val="000000"/>
                <w:kern w:val="0"/>
                <w:sz w:val="20"/>
                <w:szCs w:val="20"/>
              </w:rPr>
              <w:t>　</w:t>
            </w:r>
          </w:p>
        </w:tc>
        <w:tc>
          <w:tcPr>
            <w:tcW w:w="2435" w:type="dxa"/>
            <w:tcBorders>
              <w:top w:val="nil"/>
              <w:left w:val="nil"/>
              <w:bottom w:val="single" w:color="auto" w:sz="8" w:space="0"/>
              <w:right w:val="single" w:color="auto" w:sz="8" w:space="0"/>
            </w:tcBorders>
            <w:tcMar>
              <w:left w:w="57" w:type="dxa"/>
              <w:right w:w="57" w:type="dxa"/>
            </w:tcMar>
            <w:vAlign w:val="center"/>
          </w:tcPr>
          <w:p w14:paraId="2E1FC1E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r>
              <w:rPr>
                <w:rFonts w:hint="eastAsia" w:ascii="宋体" w:hAnsi="宋体" w:eastAsia="宋体" w:cs="宋体"/>
                <w:color w:val="000000"/>
                <w:kern w:val="0"/>
                <w:sz w:val="20"/>
                <w:szCs w:val="20"/>
              </w:rPr>
              <w:t> 　</w:t>
            </w:r>
          </w:p>
        </w:tc>
        <w:tc>
          <w:tcPr>
            <w:tcW w:w="2435" w:type="dxa"/>
            <w:tcBorders>
              <w:top w:val="nil"/>
              <w:left w:val="nil"/>
              <w:bottom w:val="single" w:color="auto" w:sz="8" w:space="0"/>
              <w:right w:val="single" w:color="auto" w:sz="8" w:space="0"/>
            </w:tcBorders>
            <w:tcMar>
              <w:left w:w="57" w:type="dxa"/>
              <w:right w:w="57" w:type="dxa"/>
            </w:tcMar>
            <w:vAlign w:val="center"/>
          </w:tcPr>
          <w:p w14:paraId="0D61313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r>
              <w:rPr>
                <w:rFonts w:ascii="宋体" w:hAnsi="宋体" w:eastAsia="宋体" w:cs="宋体"/>
                <w:color w:val="000000"/>
                <w:kern w:val="0"/>
                <w:sz w:val="20"/>
                <w:szCs w:val="20"/>
              </w:rPr>
              <w:t> </w:t>
            </w:r>
          </w:p>
        </w:tc>
      </w:tr>
      <w:tr w14:paraId="1F7C294C">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325CAA3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第二十条第（五）项</w:t>
            </w:r>
          </w:p>
        </w:tc>
      </w:tr>
      <w:tr w14:paraId="51DF5545">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3D4BE5D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615FDE1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本年处理决定数量</w:t>
            </w:r>
          </w:p>
        </w:tc>
      </w:tr>
      <w:tr w14:paraId="118DE435">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39565A27">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行政许可</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3B03A559">
            <w:pPr>
              <w:keepNext w:val="0"/>
              <w:keepLines w:val="0"/>
              <w:pageBreakBefore w:val="0"/>
              <w:widowControl/>
              <w:tabs>
                <w:tab w:val="center" w:pos="3595"/>
              </w:tabs>
              <w:kinsoku/>
              <w:wordWrap/>
              <w:overflowPunct/>
              <w:topLinePunct w:val="0"/>
              <w:autoSpaceDE/>
              <w:autoSpaceDN/>
              <w:bidi w:val="0"/>
              <w:adjustRightInd/>
              <w:snapToGrid/>
              <w:spacing w:line="560" w:lineRule="exact"/>
              <w:ind w:firstLine="0" w:firstLineChars="0"/>
              <w:jc w:val="left"/>
              <w:textAlignment w:val="auto"/>
              <w:rPr>
                <w:rFonts w:hint="default"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1"/>
                <w:szCs w:val="21"/>
              </w:rPr>
              <w:t> </w:t>
            </w:r>
            <w:r>
              <w:rPr>
                <w:rFonts w:hint="eastAsia" w:ascii="Calibri" w:hAnsi="Calibri" w:eastAsia="仿宋_GB2312" w:cs="Calibri"/>
                <w:color w:val="000000"/>
                <w:kern w:val="0"/>
                <w:sz w:val="21"/>
                <w:szCs w:val="21"/>
                <w:lang w:val="en-US" w:eastAsia="zh-CN"/>
              </w:rPr>
              <w:tab/>
            </w:r>
            <w:r>
              <w:rPr>
                <w:rFonts w:hint="eastAsia" w:ascii="Calibri" w:hAnsi="Calibri" w:eastAsia="仿宋_GB2312" w:cs="Calibri"/>
                <w:color w:val="000000"/>
                <w:kern w:val="0"/>
                <w:sz w:val="21"/>
                <w:szCs w:val="21"/>
                <w:lang w:val="en-US" w:eastAsia="zh-CN"/>
              </w:rPr>
              <w:t>0</w:t>
            </w:r>
          </w:p>
        </w:tc>
      </w:tr>
      <w:tr w14:paraId="4D0A8F3F">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670E112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第二十条第（六）项</w:t>
            </w:r>
          </w:p>
        </w:tc>
      </w:tr>
      <w:tr w14:paraId="08D88CCA">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28235CF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信息内容</w:t>
            </w:r>
          </w:p>
        </w:tc>
        <w:tc>
          <w:tcPr>
            <w:tcW w:w="7305" w:type="dxa"/>
            <w:gridSpan w:val="3"/>
            <w:tcBorders>
              <w:top w:val="single" w:color="auto" w:sz="8" w:space="0"/>
              <w:left w:val="nil"/>
              <w:bottom w:val="single" w:color="auto" w:sz="8" w:space="0"/>
              <w:right w:val="single" w:color="auto" w:sz="8" w:space="0"/>
            </w:tcBorders>
            <w:tcMar>
              <w:left w:w="57" w:type="dxa"/>
              <w:right w:w="57" w:type="dxa"/>
            </w:tcMar>
            <w:vAlign w:val="center"/>
          </w:tcPr>
          <w:p w14:paraId="5963BB7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本年处理决定数量</w:t>
            </w:r>
          </w:p>
        </w:tc>
      </w:tr>
      <w:tr w14:paraId="2EEE02B0">
        <w:tblPrEx>
          <w:tblCellMar>
            <w:top w:w="0" w:type="dxa"/>
            <w:left w:w="0" w:type="dxa"/>
            <w:bottom w:w="0" w:type="dxa"/>
            <w:right w:w="0" w:type="dxa"/>
          </w:tblCellMar>
        </w:tblPrEx>
        <w:trPr>
          <w:trHeight w:val="414"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24540616">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行政处罚</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7BBD656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lang w:val="en-US" w:eastAsia="zh-CN"/>
              </w:rPr>
              <w:t>0</w:t>
            </w:r>
            <w:r>
              <w:rPr>
                <w:rFonts w:hint="eastAsia" w:ascii="宋体" w:hAnsi="宋体" w:eastAsia="宋体" w:cs="宋体"/>
                <w:color w:val="000000"/>
                <w:kern w:val="0"/>
                <w:sz w:val="20"/>
                <w:szCs w:val="20"/>
              </w:rPr>
              <w:t>　</w:t>
            </w:r>
          </w:p>
        </w:tc>
      </w:tr>
      <w:tr w14:paraId="49EE28B0">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18E8D3B6">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宋体" w:hAnsi="宋体" w:eastAsia="宋体" w:cs="宋体"/>
                <w:color w:val="000000"/>
                <w:kern w:val="0"/>
                <w:sz w:val="20"/>
                <w:szCs w:val="20"/>
              </w:rPr>
            </w:pPr>
            <w:r>
              <w:rPr>
                <w:rFonts w:hint="eastAsia" w:ascii="宋体" w:hAnsi="宋体" w:eastAsia="宋体" w:cs="宋体"/>
                <w:color w:val="000000"/>
                <w:kern w:val="0"/>
                <w:sz w:val="20"/>
                <w:szCs w:val="20"/>
              </w:rPr>
              <w:t>行政强制</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3DC6B57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　</w:t>
            </w:r>
            <w:r>
              <w:rPr>
                <w:rFonts w:hint="eastAsia" w:ascii="宋体" w:hAnsi="宋体" w:eastAsia="宋体" w:cs="宋体"/>
                <w:color w:val="000000"/>
                <w:kern w:val="0"/>
                <w:sz w:val="20"/>
                <w:szCs w:val="20"/>
                <w:lang w:val="en-US" w:eastAsia="zh-CN"/>
              </w:rPr>
              <w:t>0</w:t>
            </w:r>
          </w:p>
        </w:tc>
      </w:tr>
      <w:tr w14:paraId="1D7F8F9A">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72EE78C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第二十条第（八）项</w:t>
            </w:r>
          </w:p>
        </w:tc>
      </w:tr>
      <w:tr w14:paraId="1903144A">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2DBC787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18F2BAE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本年收费金额（单位：万元）</w:t>
            </w:r>
          </w:p>
        </w:tc>
      </w:tr>
      <w:tr w14:paraId="06D6D577">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4BE7743">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行政事业性收费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1133F1A9">
            <w:pPr>
              <w:keepNext w:val="0"/>
              <w:keepLines w:val="0"/>
              <w:pageBreakBefore w:val="0"/>
              <w:kinsoku/>
              <w:wordWrap/>
              <w:overflowPunct/>
              <w:topLinePunct w:val="0"/>
              <w:autoSpaceDE/>
              <w:autoSpaceDN/>
              <w:bidi w:val="0"/>
              <w:adjustRightInd/>
              <w:snapToGrid/>
              <w:spacing w:line="560" w:lineRule="exact"/>
              <w:ind w:firstLine="0" w:firstLineChars="0"/>
              <w:jc w:val="center"/>
              <w:textAlignment w:val="auto"/>
              <w:rPr>
                <w:rFonts w:hint="eastAsia" w:ascii="宋体" w:hAnsi="Times New Roman" w:eastAsia="仿宋_GB2312" w:cs="Times New Roman"/>
                <w:color w:val="000000"/>
                <w:sz w:val="24"/>
                <w:szCs w:val="24"/>
                <w:lang w:val="en-US" w:eastAsia="zh-CN"/>
              </w:rPr>
            </w:pPr>
            <w:r>
              <w:rPr>
                <w:rFonts w:hint="eastAsia" w:ascii="宋体" w:hAnsi="Times New Roman" w:eastAsia="仿宋_GB2312" w:cs="Times New Roman"/>
                <w:color w:val="000000"/>
                <w:sz w:val="24"/>
                <w:szCs w:val="24"/>
                <w:lang w:val="en-US" w:eastAsia="zh-CN"/>
              </w:rPr>
              <w:t>0</w:t>
            </w:r>
          </w:p>
        </w:tc>
      </w:tr>
    </w:tbl>
    <w:p w14:paraId="1149A0CB">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eastAsia" w:ascii="黑体" w:hAnsi="宋体" w:eastAsia="黑体" w:cs="黑体"/>
          <w:i w:val="0"/>
          <w:iCs w:val="0"/>
          <w:caps w:val="0"/>
          <w:color w:val="333333"/>
          <w:spacing w:val="0"/>
          <w:kern w:val="0"/>
          <w:sz w:val="32"/>
          <w:szCs w:val="32"/>
          <w:lang w:val="en-US" w:eastAsia="zh-CN" w:bidi="ar"/>
        </w:rPr>
      </w:pPr>
      <w:r>
        <w:rPr>
          <w:rFonts w:hint="eastAsia" w:ascii="黑体" w:hAnsi="宋体" w:eastAsia="黑体" w:cs="黑体"/>
          <w:i w:val="0"/>
          <w:iCs w:val="0"/>
          <w:caps w:val="0"/>
          <w:color w:val="333333"/>
          <w:spacing w:val="0"/>
          <w:kern w:val="0"/>
          <w:sz w:val="32"/>
          <w:szCs w:val="32"/>
          <w:lang w:val="en-US" w:eastAsia="zh-CN" w:bidi="ar"/>
        </w:rPr>
        <w:t>三、收到和处理政府信息公开申请情况</w:t>
      </w:r>
    </w:p>
    <w:tbl>
      <w:tblPr>
        <w:tblStyle w:val="4"/>
        <w:tblW w:w="974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767"/>
        <w:gridCol w:w="943"/>
        <w:gridCol w:w="3219"/>
        <w:gridCol w:w="688"/>
        <w:gridCol w:w="688"/>
        <w:gridCol w:w="688"/>
        <w:gridCol w:w="688"/>
        <w:gridCol w:w="688"/>
        <w:gridCol w:w="688"/>
        <w:gridCol w:w="688"/>
      </w:tblGrid>
      <w:tr w14:paraId="649C01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restart"/>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02DE85D5">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ascii="楷体" w:hAnsi="楷体" w:eastAsia="楷体" w:cs="楷体"/>
                <w:color w:val="000000"/>
                <w:kern w:val="0"/>
                <w:sz w:val="20"/>
                <w:szCs w:val="20"/>
              </w:rPr>
              <w:t>（本列数据的勾稽关系为：第一项加第二项之和，等于第三项加第四项之和）</w:t>
            </w:r>
          </w:p>
        </w:tc>
        <w:tc>
          <w:tcPr>
            <w:tcW w:w="4816" w:type="dxa"/>
            <w:gridSpan w:val="7"/>
            <w:tcBorders>
              <w:top w:val="single" w:color="auto" w:sz="8" w:space="0"/>
              <w:left w:val="nil"/>
              <w:bottom w:val="single" w:color="auto" w:sz="8" w:space="0"/>
              <w:right w:val="single" w:color="auto" w:sz="8" w:space="0"/>
            </w:tcBorders>
            <w:tcMar>
              <w:left w:w="57" w:type="dxa"/>
              <w:right w:w="57" w:type="dxa"/>
            </w:tcMar>
            <w:vAlign w:val="center"/>
          </w:tcPr>
          <w:p w14:paraId="7EE6A30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申请人情况</w:t>
            </w:r>
          </w:p>
        </w:tc>
      </w:tr>
      <w:tr w14:paraId="571465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2BC1D1EC">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88" w:type="dxa"/>
            <w:vMerge w:val="restart"/>
            <w:tcBorders>
              <w:top w:val="nil"/>
              <w:left w:val="nil"/>
              <w:bottom w:val="single" w:color="auto" w:sz="8" w:space="0"/>
              <w:right w:val="single" w:color="auto" w:sz="8" w:space="0"/>
            </w:tcBorders>
            <w:tcMar>
              <w:left w:w="57" w:type="dxa"/>
              <w:right w:w="57" w:type="dxa"/>
            </w:tcMar>
            <w:vAlign w:val="center"/>
          </w:tcPr>
          <w:p w14:paraId="33C5A62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自然人</w:t>
            </w:r>
          </w:p>
        </w:tc>
        <w:tc>
          <w:tcPr>
            <w:tcW w:w="3440" w:type="dxa"/>
            <w:gridSpan w:val="5"/>
            <w:tcBorders>
              <w:top w:val="single" w:color="auto" w:sz="8" w:space="0"/>
              <w:left w:val="nil"/>
              <w:bottom w:val="single" w:color="auto" w:sz="8" w:space="0"/>
              <w:right w:val="single" w:color="auto" w:sz="8" w:space="0"/>
            </w:tcBorders>
            <w:tcMar>
              <w:left w:w="108" w:type="dxa"/>
              <w:right w:w="108" w:type="dxa"/>
            </w:tcMar>
            <w:vAlign w:val="center"/>
          </w:tcPr>
          <w:p w14:paraId="51372A2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法人或其他组织</w:t>
            </w:r>
          </w:p>
        </w:tc>
        <w:tc>
          <w:tcPr>
            <w:tcW w:w="688" w:type="dxa"/>
            <w:vMerge w:val="restart"/>
            <w:tcBorders>
              <w:top w:val="single" w:color="auto" w:sz="8" w:space="0"/>
              <w:left w:val="nil"/>
              <w:bottom w:val="outset" w:color="auto" w:sz="8" w:space="0"/>
              <w:right w:val="single" w:color="auto" w:sz="8" w:space="0"/>
            </w:tcBorders>
            <w:tcMar>
              <w:left w:w="108" w:type="dxa"/>
              <w:right w:w="108" w:type="dxa"/>
            </w:tcMar>
            <w:vAlign w:val="center"/>
          </w:tcPr>
          <w:p w14:paraId="781E71D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总计</w:t>
            </w:r>
          </w:p>
        </w:tc>
      </w:tr>
      <w:tr w14:paraId="2F8830D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4C4D3365">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88" w:type="dxa"/>
            <w:vMerge w:val="continue"/>
            <w:tcBorders>
              <w:top w:val="nil"/>
              <w:left w:val="nil"/>
              <w:bottom w:val="single" w:color="auto" w:sz="8" w:space="0"/>
              <w:right w:val="single" w:color="auto" w:sz="8" w:space="0"/>
            </w:tcBorders>
            <w:tcMar>
              <w:left w:w="57" w:type="dxa"/>
              <w:right w:w="57" w:type="dxa"/>
            </w:tcMar>
            <w:vAlign w:val="center"/>
          </w:tcPr>
          <w:p w14:paraId="0F74B6EA">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88" w:type="dxa"/>
            <w:tcBorders>
              <w:top w:val="nil"/>
              <w:left w:val="nil"/>
              <w:bottom w:val="single" w:color="auto" w:sz="8" w:space="0"/>
              <w:right w:val="single" w:color="auto" w:sz="8" w:space="0"/>
            </w:tcBorders>
            <w:tcMar>
              <w:left w:w="108" w:type="dxa"/>
              <w:right w:w="108" w:type="dxa"/>
            </w:tcMar>
            <w:vAlign w:val="center"/>
          </w:tcPr>
          <w:p w14:paraId="52C2C67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商业</w:t>
            </w:r>
          </w:p>
          <w:p w14:paraId="0BC1677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企业</w:t>
            </w:r>
          </w:p>
        </w:tc>
        <w:tc>
          <w:tcPr>
            <w:tcW w:w="688" w:type="dxa"/>
            <w:tcBorders>
              <w:top w:val="nil"/>
              <w:left w:val="nil"/>
              <w:bottom w:val="single" w:color="auto" w:sz="8" w:space="0"/>
              <w:right w:val="single" w:color="auto" w:sz="8" w:space="0"/>
            </w:tcBorders>
            <w:tcMar>
              <w:left w:w="108" w:type="dxa"/>
              <w:right w:w="108" w:type="dxa"/>
            </w:tcMar>
            <w:vAlign w:val="center"/>
          </w:tcPr>
          <w:p w14:paraId="5E9F840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科研</w:t>
            </w:r>
          </w:p>
          <w:p w14:paraId="38A86C8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机构</w:t>
            </w:r>
          </w:p>
        </w:tc>
        <w:tc>
          <w:tcPr>
            <w:tcW w:w="688" w:type="dxa"/>
            <w:tcBorders>
              <w:top w:val="single" w:color="auto" w:sz="8" w:space="0"/>
              <w:left w:val="nil"/>
              <w:bottom w:val="single" w:color="auto" w:sz="8" w:space="0"/>
              <w:right w:val="single" w:color="auto" w:sz="8" w:space="0"/>
            </w:tcBorders>
            <w:tcMar>
              <w:left w:w="108" w:type="dxa"/>
              <w:right w:w="108" w:type="dxa"/>
            </w:tcMar>
            <w:vAlign w:val="center"/>
          </w:tcPr>
          <w:p w14:paraId="1B46764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社会公益组织</w:t>
            </w:r>
          </w:p>
        </w:tc>
        <w:tc>
          <w:tcPr>
            <w:tcW w:w="688" w:type="dxa"/>
            <w:tcBorders>
              <w:top w:val="single" w:color="auto" w:sz="8" w:space="0"/>
              <w:left w:val="nil"/>
              <w:bottom w:val="single" w:color="auto" w:sz="8" w:space="0"/>
              <w:right w:val="single" w:color="auto" w:sz="8" w:space="0"/>
            </w:tcBorders>
            <w:tcMar>
              <w:left w:w="108" w:type="dxa"/>
              <w:right w:w="108" w:type="dxa"/>
            </w:tcMar>
            <w:vAlign w:val="center"/>
          </w:tcPr>
          <w:p w14:paraId="74843FF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法律服务机构</w:t>
            </w:r>
          </w:p>
        </w:tc>
        <w:tc>
          <w:tcPr>
            <w:tcW w:w="688" w:type="dxa"/>
            <w:tcBorders>
              <w:top w:val="single" w:color="auto" w:sz="8" w:space="0"/>
              <w:left w:val="nil"/>
              <w:bottom w:val="single" w:color="auto" w:sz="8" w:space="0"/>
              <w:right w:val="single" w:color="auto" w:sz="8" w:space="0"/>
            </w:tcBorders>
            <w:tcMar>
              <w:left w:w="108" w:type="dxa"/>
              <w:right w:w="108" w:type="dxa"/>
            </w:tcMar>
            <w:vAlign w:val="center"/>
          </w:tcPr>
          <w:p w14:paraId="5E0BE1A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其他</w:t>
            </w:r>
          </w:p>
        </w:tc>
        <w:tc>
          <w:tcPr>
            <w:tcW w:w="688" w:type="dxa"/>
            <w:vMerge w:val="continue"/>
            <w:tcBorders>
              <w:top w:val="single" w:color="auto" w:sz="8" w:space="0"/>
              <w:left w:val="nil"/>
              <w:bottom w:val="outset" w:color="auto" w:sz="8" w:space="0"/>
              <w:right w:val="single" w:color="auto" w:sz="8" w:space="0"/>
            </w:tcBorders>
            <w:tcMar>
              <w:left w:w="108" w:type="dxa"/>
              <w:right w:w="108" w:type="dxa"/>
            </w:tcMar>
            <w:vAlign w:val="center"/>
          </w:tcPr>
          <w:p w14:paraId="1CF7CE22">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r>
      <w:tr w14:paraId="2864E5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tcMar>
              <w:left w:w="57" w:type="dxa"/>
              <w:right w:w="57" w:type="dxa"/>
            </w:tcMar>
            <w:vAlign w:val="center"/>
          </w:tcPr>
          <w:p w14:paraId="47FE5967">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一、本年新收政府信息公开申请数量</w:t>
            </w:r>
          </w:p>
        </w:tc>
        <w:tc>
          <w:tcPr>
            <w:tcW w:w="688" w:type="dxa"/>
            <w:tcBorders>
              <w:top w:val="nil"/>
              <w:left w:val="nil"/>
              <w:bottom w:val="single" w:color="auto" w:sz="8" w:space="0"/>
              <w:right w:val="single" w:color="auto" w:sz="8" w:space="0"/>
            </w:tcBorders>
            <w:tcMar>
              <w:left w:w="57" w:type="dxa"/>
              <w:right w:w="57" w:type="dxa"/>
            </w:tcMar>
            <w:vAlign w:val="center"/>
          </w:tcPr>
          <w:p w14:paraId="7800882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23097E1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72AF1B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tcMar>
              <w:left w:w="57" w:type="dxa"/>
              <w:right w:w="57" w:type="dxa"/>
            </w:tcMar>
            <w:vAlign w:val="center"/>
          </w:tcPr>
          <w:p w14:paraId="5D82AB5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tcMar>
              <w:left w:w="57" w:type="dxa"/>
              <w:right w:w="57" w:type="dxa"/>
            </w:tcMar>
            <w:vAlign w:val="center"/>
          </w:tcPr>
          <w:p w14:paraId="18B13FE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82912C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tcPr>
          <w:p w14:paraId="3ED3981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6DFB85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tcMar>
              <w:left w:w="57" w:type="dxa"/>
              <w:right w:w="57" w:type="dxa"/>
            </w:tcMar>
            <w:vAlign w:val="center"/>
          </w:tcPr>
          <w:p w14:paraId="499763A3">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二、上年结转政府信息公开申请数量</w:t>
            </w:r>
          </w:p>
        </w:tc>
        <w:tc>
          <w:tcPr>
            <w:tcW w:w="688" w:type="dxa"/>
            <w:tcBorders>
              <w:top w:val="nil"/>
              <w:left w:val="nil"/>
              <w:bottom w:val="single" w:color="auto" w:sz="8" w:space="0"/>
              <w:right w:val="single" w:color="auto" w:sz="8" w:space="0"/>
            </w:tcBorders>
            <w:tcMar>
              <w:left w:w="57" w:type="dxa"/>
              <w:right w:w="57" w:type="dxa"/>
            </w:tcMar>
            <w:vAlign w:val="center"/>
          </w:tcPr>
          <w:p w14:paraId="6F3C70B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tcMar>
              <w:left w:w="57" w:type="dxa"/>
              <w:right w:w="57" w:type="dxa"/>
            </w:tcMar>
            <w:vAlign w:val="center"/>
          </w:tcPr>
          <w:p w14:paraId="01F3C2F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B39638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3ECE5C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0960034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1E30404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tcMar>
              <w:left w:w="57" w:type="dxa"/>
              <w:right w:w="57" w:type="dxa"/>
            </w:tcMar>
          </w:tcPr>
          <w:p w14:paraId="3C958CC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1FA5541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restart"/>
            <w:tcBorders>
              <w:top w:val="nil"/>
              <w:left w:val="single" w:color="auto" w:sz="8" w:space="0"/>
              <w:bottom w:val="outset" w:color="auto" w:sz="8" w:space="0"/>
              <w:right w:val="single" w:color="auto" w:sz="8" w:space="0"/>
            </w:tcBorders>
            <w:tcMar>
              <w:left w:w="57" w:type="dxa"/>
              <w:right w:w="57" w:type="dxa"/>
            </w:tcMar>
            <w:vAlign w:val="center"/>
          </w:tcPr>
          <w:p w14:paraId="0814D11E">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三、本年度办理结果</w:t>
            </w:r>
          </w:p>
        </w:tc>
        <w:tc>
          <w:tcPr>
            <w:tcW w:w="4162" w:type="dxa"/>
            <w:gridSpan w:val="2"/>
            <w:tcBorders>
              <w:top w:val="nil"/>
              <w:left w:val="nil"/>
              <w:bottom w:val="single" w:color="auto" w:sz="8" w:space="0"/>
              <w:right w:val="single" w:color="auto" w:sz="8" w:space="0"/>
            </w:tcBorders>
            <w:tcMar>
              <w:left w:w="57" w:type="dxa"/>
              <w:right w:w="57" w:type="dxa"/>
            </w:tcMar>
            <w:vAlign w:val="center"/>
          </w:tcPr>
          <w:p w14:paraId="09CAF04F">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（一）予以公开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22A737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D6E10E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4BEA1D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45BD5A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E679F4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C7B79C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14:paraId="4EEAAAE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4B2B2D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B98FA68">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4162" w:type="dxa"/>
            <w:gridSpan w:val="2"/>
            <w:tcBorders>
              <w:top w:val="nil"/>
              <w:left w:val="nil"/>
              <w:bottom w:val="single" w:color="auto" w:sz="8" w:space="0"/>
              <w:right w:val="single" w:color="auto" w:sz="8" w:space="0"/>
            </w:tcBorders>
            <w:tcMar>
              <w:left w:w="57" w:type="dxa"/>
              <w:right w:w="57" w:type="dxa"/>
            </w:tcMar>
            <w:vAlign w:val="center"/>
          </w:tcPr>
          <w:p w14:paraId="426A972F">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（二）部分公开</w:t>
            </w:r>
            <w:r>
              <w:rPr>
                <w:rFonts w:hint="eastAsia" w:ascii="楷体" w:hAnsi="楷体" w:eastAsia="楷体" w:cs="楷体"/>
                <w:color w:val="000000"/>
                <w:kern w:val="0"/>
                <w:sz w:val="20"/>
                <w:szCs w:val="20"/>
              </w:rPr>
              <w:t>（区分处理的，只计这一情形，不计其他情形）</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DE93BC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ED332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76AD38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3FE12F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0865C2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5F9EFB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256E38A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3DD17E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2F119AD">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restart"/>
            <w:tcBorders>
              <w:top w:val="nil"/>
              <w:left w:val="nil"/>
              <w:bottom w:val="outset" w:color="auto" w:sz="8" w:space="0"/>
              <w:right w:val="single" w:color="auto" w:sz="8" w:space="0"/>
            </w:tcBorders>
            <w:tcMar>
              <w:left w:w="57" w:type="dxa"/>
              <w:right w:w="57" w:type="dxa"/>
            </w:tcMar>
            <w:vAlign w:val="center"/>
          </w:tcPr>
          <w:p w14:paraId="75E4C2C9">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（三）不予公开</w:t>
            </w:r>
          </w:p>
        </w:tc>
        <w:tc>
          <w:tcPr>
            <w:tcW w:w="3219" w:type="dxa"/>
            <w:tcBorders>
              <w:top w:val="nil"/>
              <w:left w:val="nil"/>
              <w:bottom w:val="single" w:color="auto" w:sz="8" w:space="0"/>
              <w:right w:val="single" w:color="auto" w:sz="8" w:space="0"/>
            </w:tcBorders>
            <w:tcMar>
              <w:left w:w="57" w:type="dxa"/>
              <w:right w:w="57" w:type="dxa"/>
            </w:tcMar>
          </w:tcPr>
          <w:p w14:paraId="3177F0D9">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1.属于国家秘密</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1E0417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EB2F45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C1FA66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FD6D6D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2CDABA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15FC16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14:paraId="593F56B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6D8455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2008E09">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6EFD9970">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74534EA7">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2.其他法律行政法规禁止公开</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8108FC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6468BF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D04D53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1DA27B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AE90E4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A0DD2B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51F9336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166A52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E104B23">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68A6FC6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4ED00FA7">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3.危及“三安全一稳定”</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B153A9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F1530B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96E5FC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641957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337543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0F236F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07480BF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234BE1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D3F643B">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670833E4">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72DF79DA">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4.保护第三方合法权益</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06730A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4E66C3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2E75C9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9E859A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4E504E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F816EA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5112152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1728B8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C979CA6">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583E98DB">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4687BAA4">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5.属于三类内部事务信息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B0472E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006CAD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E6F07F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6B4F7C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42E90A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E84FCB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27148D0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6E65B7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631125E8">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42EAF640">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1667F443">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6.属于四类过程性信息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13AE2C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9EAD34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6FCC02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A6933E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FFD60A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66295D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64BF151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17B1CE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58ABD26">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7CCAEDB3">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54BAA979">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7.属于行政执法案卷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834600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42E70E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13116A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1AACBC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0E1DA5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D1037B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2A86A25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7DE1D6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607C25A0">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168EF3DB">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69FB2813">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8.属于行政查询事项</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3C86DC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5E893E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E2C02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286283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AC8DED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87EF1E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020D515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481F2D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7FF651C">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restart"/>
            <w:tcBorders>
              <w:top w:val="nil"/>
              <w:left w:val="nil"/>
              <w:bottom w:val="outset" w:color="auto" w:sz="8" w:space="0"/>
              <w:right w:val="single" w:color="auto" w:sz="8" w:space="0"/>
            </w:tcBorders>
            <w:tcMar>
              <w:left w:w="57" w:type="dxa"/>
              <w:right w:w="57" w:type="dxa"/>
            </w:tcMar>
            <w:vAlign w:val="center"/>
          </w:tcPr>
          <w:p w14:paraId="396DAA27">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（四）无法提供</w:t>
            </w:r>
          </w:p>
        </w:tc>
        <w:tc>
          <w:tcPr>
            <w:tcW w:w="3219" w:type="dxa"/>
            <w:tcBorders>
              <w:top w:val="nil"/>
              <w:left w:val="nil"/>
              <w:bottom w:val="single" w:color="auto" w:sz="8" w:space="0"/>
              <w:right w:val="single" w:color="auto" w:sz="8" w:space="0"/>
            </w:tcBorders>
            <w:tcMar>
              <w:left w:w="57" w:type="dxa"/>
              <w:right w:w="57" w:type="dxa"/>
            </w:tcMar>
          </w:tcPr>
          <w:p w14:paraId="53769790">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1.本机关不掌握相关政府信息</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92DE6F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5902E5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BB2915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941A76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5D9FB6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AA0D69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5C58890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67E40E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861A1E4">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6153EFC2">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5E88D874">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2.没有现成信息需要另行制作</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DA5192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8400C2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D8201B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9D09E7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063A20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1C2E96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30BDC57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154045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EBFDA0A">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250ECEDB">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68BDEFDB">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3.补正后申请内容仍不明确</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89E755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2DA74C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CC0103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A2A9A3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D6E048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C948F0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63BA5E1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283110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FA6DC9E">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restart"/>
            <w:tcBorders>
              <w:top w:val="nil"/>
              <w:left w:val="nil"/>
              <w:bottom w:val="outset" w:color="auto" w:sz="8" w:space="0"/>
              <w:right w:val="single" w:color="auto" w:sz="8" w:space="0"/>
            </w:tcBorders>
            <w:tcMar>
              <w:left w:w="57" w:type="dxa"/>
              <w:right w:w="57" w:type="dxa"/>
            </w:tcMar>
            <w:vAlign w:val="center"/>
          </w:tcPr>
          <w:p w14:paraId="7FDDA652">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（五）不予处理</w:t>
            </w:r>
          </w:p>
        </w:tc>
        <w:tc>
          <w:tcPr>
            <w:tcW w:w="3219" w:type="dxa"/>
            <w:tcBorders>
              <w:top w:val="nil"/>
              <w:left w:val="nil"/>
              <w:bottom w:val="single" w:color="auto" w:sz="8" w:space="0"/>
              <w:right w:val="single" w:color="auto" w:sz="8" w:space="0"/>
            </w:tcBorders>
            <w:tcMar>
              <w:left w:w="57" w:type="dxa"/>
              <w:right w:w="57" w:type="dxa"/>
            </w:tcMar>
          </w:tcPr>
          <w:p w14:paraId="50622D31">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1.信访举报投诉类申请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3FED11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A9B31D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05AFE0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D1863B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D8179E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D3DC63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0B29692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58E6E8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9C55D1C">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2EE73AEE">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5E5B9733">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2.重复申请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C2B593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CC3A39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505678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619F63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61A248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D281D8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3EE3687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0242F8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923D7DA">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6B4C0FD0">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74FF4B5A">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3.要求提供公开出版物</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23DB10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83183C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E23ECF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5E4A46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DF1BD3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1918A0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722352D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146120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63BA0F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68F8F6A1">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tcPr>
          <w:p w14:paraId="22B26FA6">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4.无正当理由大量反复申请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1FD677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620E8C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0CCFC1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B9BAA0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349EE8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4E2623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1565365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761C81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E6EF3D5">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nil"/>
              <w:left w:val="nil"/>
              <w:bottom w:val="outset" w:color="auto" w:sz="8" w:space="0"/>
              <w:right w:val="single" w:color="auto" w:sz="8" w:space="0"/>
            </w:tcBorders>
            <w:tcMar>
              <w:left w:w="57" w:type="dxa"/>
              <w:right w:w="57" w:type="dxa"/>
            </w:tcMar>
            <w:vAlign w:val="center"/>
          </w:tcPr>
          <w:p w14:paraId="57DA6200">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outset" w:color="auto" w:sz="8" w:space="0"/>
              <w:right w:val="single" w:color="auto" w:sz="8" w:space="0"/>
            </w:tcBorders>
            <w:tcMar>
              <w:left w:w="57" w:type="dxa"/>
              <w:right w:w="57" w:type="dxa"/>
            </w:tcMar>
            <w:vAlign w:val="center"/>
          </w:tcPr>
          <w:p w14:paraId="40FBF65D">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5.要求行政机关确认或重新出具已获取信息</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5501E8F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765C107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6D4677D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470A54A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4DD8A40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center"/>
          </w:tcPr>
          <w:p w14:paraId="3049937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outset" w:color="auto" w:sz="8" w:space="0"/>
              <w:right w:val="single" w:color="auto" w:sz="8" w:space="0"/>
            </w:tcBorders>
            <w:shd w:val="clear" w:color="auto" w:fill="auto"/>
            <w:tcMar>
              <w:left w:w="57" w:type="dxa"/>
              <w:right w:w="57" w:type="dxa"/>
            </w:tcMar>
            <w:vAlign w:val="top"/>
          </w:tcPr>
          <w:p w14:paraId="714950F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4C9C8A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DA43705">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restart"/>
            <w:tcBorders>
              <w:top w:val="outset" w:color="auto" w:sz="8" w:space="0"/>
              <w:left w:val="nil"/>
              <w:bottom w:val="outset" w:color="auto" w:sz="8" w:space="0"/>
              <w:right w:val="single" w:color="auto" w:sz="8" w:space="0"/>
            </w:tcBorders>
            <w:tcMar>
              <w:left w:w="57" w:type="dxa"/>
              <w:right w:w="57" w:type="dxa"/>
            </w:tcMar>
            <w:vAlign w:val="center"/>
          </w:tcPr>
          <w:p w14:paraId="4CF788D0">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（六）其他处理</w:t>
            </w:r>
          </w:p>
        </w:tc>
        <w:tc>
          <w:tcPr>
            <w:tcW w:w="3219" w:type="dxa"/>
            <w:tcBorders>
              <w:top w:val="nil"/>
              <w:left w:val="nil"/>
              <w:bottom w:val="single" w:color="auto" w:sz="8" w:space="0"/>
              <w:right w:val="single" w:color="auto" w:sz="8" w:space="0"/>
            </w:tcBorders>
            <w:tcMar>
              <w:left w:w="57" w:type="dxa"/>
              <w:right w:w="57" w:type="dxa"/>
            </w:tcMar>
            <w:vAlign w:val="center"/>
          </w:tcPr>
          <w:p w14:paraId="22071CAD">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1.申请人无正当理由逾期不补正、行政机关不再处理其政府信息公开申请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DBF002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6EE051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F0FCC9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9A1B80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3C00B46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55278C5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0BBB573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5C3868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B2F0E26">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5A83E3D4">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vAlign w:val="center"/>
          </w:tcPr>
          <w:p w14:paraId="239E91DF">
            <w:pPr>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ECB896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136AE4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8FA3E6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F71C8A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49BBBC9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050788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15E552F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36233C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6FF2181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943"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196D8AE4">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3219" w:type="dxa"/>
            <w:tcBorders>
              <w:top w:val="nil"/>
              <w:left w:val="nil"/>
              <w:bottom w:val="single" w:color="auto" w:sz="8" w:space="0"/>
              <w:right w:val="single" w:color="auto" w:sz="8" w:space="0"/>
            </w:tcBorders>
            <w:tcMar>
              <w:left w:w="57" w:type="dxa"/>
              <w:right w:w="57" w:type="dxa"/>
            </w:tcMar>
            <w:vAlign w:val="center"/>
          </w:tcPr>
          <w:p w14:paraId="691BF32B">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3.其他</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13D522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25B0E12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37DA86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56CB00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8F8EAF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02D11C3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518DC97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4C23B7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7"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600BAB6">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4162" w:type="dxa"/>
            <w:gridSpan w:val="2"/>
            <w:tcBorders>
              <w:top w:val="nil"/>
              <w:left w:val="nil"/>
              <w:bottom w:val="single" w:color="auto" w:sz="8" w:space="0"/>
              <w:right w:val="single" w:color="auto" w:sz="8" w:space="0"/>
            </w:tcBorders>
            <w:tcMar>
              <w:left w:w="57" w:type="dxa"/>
              <w:right w:w="57" w:type="dxa"/>
            </w:tcMar>
            <w:vAlign w:val="center"/>
          </w:tcPr>
          <w:p w14:paraId="7FE6A4B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（七）总计</w:t>
            </w:r>
          </w:p>
        </w:tc>
        <w:tc>
          <w:tcPr>
            <w:tcW w:w="688" w:type="dxa"/>
            <w:tcBorders>
              <w:top w:val="nil"/>
              <w:left w:val="nil"/>
              <w:bottom w:val="single" w:color="auto" w:sz="8" w:space="0"/>
              <w:right w:val="single" w:color="auto" w:sz="8" w:space="0"/>
            </w:tcBorders>
            <w:tcMar>
              <w:left w:w="57" w:type="dxa"/>
              <w:right w:w="57" w:type="dxa"/>
            </w:tcMar>
            <w:vAlign w:val="center"/>
          </w:tcPr>
          <w:p w14:paraId="2518759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700850C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32E159E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6444802D">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vAlign w:val="center"/>
          </w:tcPr>
          <w:p w14:paraId="5FD6ABD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tcMar>
              <w:left w:w="57" w:type="dxa"/>
              <w:right w:w="57" w:type="dxa"/>
            </w:tcMar>
            <w:vAlign w:val="center"/>
          </w:tcPr>
          <w:p w14:paraId="0B722A0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tcMar>
              <w:left w:w="57" w:type="dxa"/>
              <w:right w:w="57" w:type="dxa"/>
            </w:tcMar>
          </w:tcPr>
          <w:p w14:paraId="24F75AB5">
            <w:pPr>
              <w:keepNext w:val="0"/>
              <w:keepLines w:val="0"/>
              <w:pageBreakBefore w:val="0"/>
              <w:widowControl/>
              <w:kinsoku/>
              <w:wordWrap/>
              <w:overflowPunct/>
              <w:topLinePunct w:val="0"/>
              <w:autoSpaceDE/>
              <w:autoSpaceDN/>
              <w:bidi w:val="0"/>
              <w:adjustRightInd/>
              <w:snapToGrid/>
              <w:spacing w:line="560" w:lineRule="exact"/>
              <w:ind w:firstLine="200" w:firstLineChars="100"/>
              <w:jc w:val="both"/>
              <w:textAlignment w:val="auto"/>
              <w:rPr>
                <w:rFonts w:hint="default" w:ascii="仿宋_GB2312" w:hAnsi="Times New Roman" w:eastAsia="仿宋_GB2312" w:cs="Times New Roman"/>
                <w:color w:val="000000"/>
                <w:sz w:val="32"/>
                <w:szCs w:val="32"/>
                <w:lang w:val="en-US" w:eastAsia="zh-CN"/>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r w14:paraId="71B1F9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29" w:type="dxa"/>
            <w:gridSpan w:val="3"/>
            <w:tcBorders>
              <w:top w:val="nil"/>
              <w:left w:val="single" w:color="auto" w:sz="8" w:space="0"/>
              <w:bottom w:val="single" w:color="auto" w:sz="8" w:space="0"/>
              <w:right w:val="single" w:color="auto" w:sz="8" w:space="0"/>
            </w:tcBorders>
            <w:tcMar>
              <w:left w:w="57" w:type="dxa"/>
              <w:right w:w="57" w:type="dxa"/>
            </w:tcMar>
            <w:vAlign w:val="center"/>
          </w:tcPr>
          <w:p w14:paraId="12E3D087">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四、结转下年度继续办理</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65BD07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A5B598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111473F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65FB4B2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999A44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center"/>
          </w:tcPr>
          <w:p w14:paraId="7C565E3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kern w:val="2"/>
                <w:sz w:val="32"/>
                <w:szCs w:val="32"/>
                <w:lang w:val="en-US" w:eastAsia="zh-CN" w:bidi="ar-SA"/>
              </w:rPr>
            </w:pPr>
            <w:r>
              <w:rPr>
                <w:rFonts w:hint="eastAsia" w:ascii="Calibri" w:hAnsi="Calibri" w:eastAsia="仿宋_GB2312" w:cs="Calibri"/>
                <w:color w:val="000000"/>
                <w:kern w:val="0"/>
                <w:sz w:val="20"/>
                <w:szCs w:val="20"/>
                <w:lang w:val="en-US" w:eastAsia="zh-CN"/>
              </w:rPr>
              <w:t>0</w:t>
            </w:r>
            <w:r>
              <w:rPr>
                <w:rFonts w:ascii="Calibri" w:hAnsi="Calibri" w:eastAsia="仿宋_GB2312" w:cs="Calibri"/>
                <w:color w:val="000000"/>
                <w:kern w:val="0"/>
                <w:sz w:val="20"/>
                <w:szCs w:val="20"/>
              </w:rPr>
              <w:t> </w:t>
            </w:r>
          </w:p>
        </w:tc>
        <w:tc>
          <w:tcPr>
            <w:tcW w:w="688" w:type="dxa"/>
            <w:tcBorders>
              <w:top w:val="nil"/>
              <w:left w:val="nil"/>
              <w:bottom w:val="single" w:color="auto" w:sz="8" w:space="0"/>
              <w:right w:val="single" w:color="auto" w:sz="8" w:space="0"/>
            </w:tcBorders>
            <w:shd w:val="clear" w:color="auto" w:fill="auto"/>
            <w:tcMar>
              <w:left w:w="57" w:type="dxa"/>
              <w:right w:w="57" w:type="dxa"/>
            </w:tcMar>
            <w:vAlign w:val="top"/>
          </w:tcPr>
          <w:p w14:paraId="4C2046F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仿宋_GB2312" w:cs="Times New Roman"/>
                <w:color w:val="000000"/>
                <w:kern w:val="2"/>
                <w:sz w:val="32"/>
                <w:szCs w:val="32"/>
                <w:lang w:val="en-US" w:eastAsia="zh-CN" w:bidi="ar-SA"/>
              </w:rPr>
            </w:pPr>
            <w:r>
              <w:rPr>
                <w:rFonts w:ascii="Calibri" w:hAnsi="Calibri" w:eastAsia="仿宋_GB2312" w:cs="Calibri"/>
                <w:color w:val="000000"/>
                <w:kern w:val="0"/>
                <w:sz w:val="20"/>
                <w:szCs w:val="20"/>
              </w:rPr>
              <w:t> </w:t>
            </w:r>
            <w:r>
              <w:rPr>
                <w:rFonts w:hint="eastAsia" w:ascii="Calibri" w:hAnsi="Calibri" w:eastAsia="仿宋_GB2312" w:cs="Calibri"/>
                <w:color w:val="000000"/>
                <w:kern w:val="0"/>
                <w:sz w:val="20"/>
                <w:szCs w:val="20"/>
                <w:lang w:val="en-US" w:eastAsia="zh-CN"/>
              </w:rPr>
              <w:t>0</w:t>
            </w:r>
          </w:p>
        </w:tc>
      </w:tr>
    </w:tbl>
    <w:p w14:paraId="29B7540F">
      <w:pPr>
        <w:keepNext w:val="0"/>
        <w:keepLines w:val="0"/>
        <w:pageBreakBefore w:val="0"/>
        <w:kinsoku/>
        <w:wordWrap/>
        <w:overflowPunct/>
        <w:topLinePunct w:val="0"/>
        <w:autoSpaceDE/>
        <w:autoSpaceDN/>
        <w:bidi w:val="0"/>
        <w:adjustRightInd/>
        <w:snapToGrid/>
        <w:spacing w:line="560" w:lineRule="exact"/>
        <w:ind w:firstLine="0" w:firstLineChars="0"/>
        <w:textAlignment w:val="auto"/>
      </w:pPr>
      <w:r>
        <w:rPr>
          <w:rFonts w:hint="eastAsia" w:ascii="黑体" w:hAnsi="宋体" w:eastAsia="黑体" w:cs="黑体"/>
          <w:i w:val="0"/>
          <w:iCs w:val="0"/>
          <w:caps w:val="0"/>
          <w:color w:val="333333"/>
          <w:spacing w:val="0"/>
          <w:kern w:val="0"/>
          <w:sz w:val="32"/>
          <w:szCs w:val="32"/>
          <w:lang w:val="en-US" w:eastAsia="zh-CN" w:bidi="ar"/>
        </w:rPr>
        <w:t>四、政府信息公开行政复议、行政诉讼情况</w:t>
      </w:r>
    </w:p>
    <w:tbl>
      <w:tblPr>
        <w:tblStyle w:val="4"/>
        <w:tblW w:w="974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0"/>
        <w:gridCol w:w="650"/>
        <w:gridCol w:w="650"/>
        <w:gridCol w:w="650"/>
        <w:gridCol w:w="650"/>
      </w:tblGrid>
      <w:tr w14:paraId="449C6F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489034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行政复议</w:t>
            </w:r>
          </w:p>
        </w:tc>
        <w:tc>
          <w:tcPr>
            <w:tcW w:w="6498" w:type="dxa"/>
            <w:gridSpan w:val="10"/>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D23DEB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行政诉讼</w:t>
            </w:r>
          </w:p>
        </w:tc>
      </w:tr>
      <w:tr w14:paraId="5C8EE4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2410B7C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结果维持</w:t>
            </w:r>
          </w:p>
        </w:tc>
        <w:tc>
          <w:tcPr>
            <w:tcW w:w="649"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0D3CA46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结果</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纠正</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3145B9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其他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结果</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161E43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尚未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审结</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D457E0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总计</w:t>
            </w:r>
          </w:p>
        </w:tc>
        <w:tc>
          <w:tcPr>
            <w:tcW w:w="3248"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EAF5D62">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未经复议直接起诉</w:t>
            </w:r>
          </w:p>
        </w:tc>
        <w:tc>
          <w:tcPr>
            <w:tcW w:w="3250"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E21F27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复议后起诉</w:t>
            </w:r>
          </w:p>
        </w:tc>
      </w:tr>
      <w:tr w14:paraId="6F1684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6E3CFC9E">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70549596">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825153D">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85B2607">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8193582">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ascii="宋体" w:hAnsi="Times New Roman" w:eastAsia="仿宋_GB2312" w:cs="Times New Roman"/>
                <w:color w:val="000000"/>
                <w:sz w:val="24"/>
                <w:szCs w:val="24"/>
              </w:rPr>
            </w:pP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316A41B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结果</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维持</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9A1978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结果</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纠正</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27477B1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其他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结果</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2D6CB90">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尚未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审结</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78596D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总计</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A8CF5B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结果</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维持</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4EAE869">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结果</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纠正</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4240696">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其他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结果</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90846F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尚未</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审结</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712E34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宋体" w:hAnsi="宋体" w:eastAsia="宋体" w:cs="宋体"/>
                <w:color w:val="000000"/>
                <w:kern w:val="0"/>
                <w:sz w:val="20"/>
                <w:szCs w:val="20"/>
              </w:rPr>
              <w:t>总计</w:t>
            </w:r>
          </w:p>
        </w:tc>
      </w:tr>
      <w:tr w14:paraId="762336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2" w:hRule="atLeast"/>
          <w:jc w:val="center"/>
        </w:trPr>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2941B3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53034303">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黑体" w:hAnsi="宋体" w:eastAsia="黑体" w:cs="黑体"/>
                <w:color w:val="000000"/>
                <w:kern w:val="0"/>
                <w:sz w:val="20"/>
                <w:szCs w:val="20"/>
                <w:lang w:val="en-US" w:eastAsia="zh-CN"/>
              </w:rPr>
              <w:t>0</w:t>
            </w:r>
            <w:r>
              <w:rPr>
                <w:rFonts w:hint="eastAsia" w:ascii="黑体" w:hAnsi="宋体" w:eastAsia="黑体" w:cs="黑体"/>
                <w:color w:val="000000"/>
                <w:kern w:val="0"/>
                <w:sz w:val="20"/>
                <w:szCs w:val="20"/>
              </w:rPr>
              <w:t> </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181F601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黑体" w:hAnsi="宋体" w:eastAsia="黑体" w:cs="黑体"/>
                <w:color w:val="000000"/>
                <w:kern w:val="0"/>
                <w:sz w:val="20"/>
                <w:szCs w:val="20"/>
                <w:lang w:val="en-US" w:eastAsia="zh-CN"/>
              </w:rPr>
              <w:t>0</w:t>
            </w:r>
            <w:r>
              <w:rPr>
                <w:rFonts w:hint="eastAsia" w:ascii="黑体" w:hAnsi="宋体" w:eastAsia="黑体" w:cs="黑体"/>
                <w:color w:val="000000"/>
                <w:kern w:val="0"/>
                <w:sz w:val="20"/>
                <w:szCs w:val="20"/>
              </w:rPr>
              <w:t> </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58932FC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6A7DBC5">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F7F3DE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161B64B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黑体" w:hAnsi="宋体" w:eastAsia="黑体" w:cs="黑体"/>
                <w:color w:val="000000"/>
                <w:kern w:val="0"/>
                <w:sz w:val="20"/>
                <w:szCs w:val="20"/>
                <w:lang w:val="en-US" w:eastAsia="zh-CN"/>
              </w:rPr>
              <w:t>0</w:t>
            </w:r>
            <w:r>
              <w:rPr>
                <w:rFonts w:hint="eastAsia" w:ascii="黑体" w:hAnsi="宋体" w:eastAsia="黑体" w:cs="黑体"/>
                <w:color w:val="000000"/>
                <w:kern w:val="0"/>
                <w:sz w:val="20"/>
                <w:szCs w:val="20"/>
              </w:rPr>
              <w:t> </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27F70067">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3C2788CE">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006E5B7C">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03D62A2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ascii="仿宋_GB2312" w:hAnsi="Times New Roman" w:eastAsia="仿宋_GB2312" w:cs="Times New Roman"/>
                <w:color w:val="000000"/>
                <w:sz w:val="32"/>
                <w:szCs w:val="32"/>
              </w:rPr>
            </w:pPr>
            <w:r>
              <w:rPr>
                <w:rFonts w:hint="eastAsia" w:ascii="黑体" w:hAnsi="宋体" w:eastAsia="黑体" w:cs="黑体"/>
                <w:color w:val="000000"/>
                <w:kern w:val="0"/>
                <w:sz w:val="20"/>
                <w:szCs w:val="20"/>
                <w:lang w:val="en-US" w:eastAsia="zh-CN"/>
              </w:rPr>
              <w:t>0</w:t>
            </w:r>
            <w:r>
              <w:rPr>
                <w:rFonts w:hint="eastAsia" w:ascii="黑体" w:hAnsi="宋体" w:eastAsia="黑体" w:cs="黑体"/>
                <w:color w:val="000000"/>
                <w:kern w:val="0"/>
                <w:sz w:val="20"/>
                <w:szCs w:val="20"/>
              </w:rPr>
              <w:t> </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7F4A3944">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2DC05741">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013D8D8B">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Times New Roman" w:eastAsia="黑体" w:cs="Times New Roman"/>
                <w:color w:val="000000"/>
                <w:sz w:val="32"/>
                <w:szCs w:val="32"/>
                <w:lang w:val="en-US" w:eastAsia="zh-CN"/>
              </w:rPr>
            </w:pPr>
            <w:r>
              <w:rPr>
                <w:rFonts w:hint="eastAsia" w:ascii="黑体" w:hAnsi="宋体" w:eastAsia="黑体" w:cs="黑体"/>
                <w:color w:val="000000"/>
                <w:kern w:val="0"/>
                <w:sz w:val="20"/>
                <w:szCs w:val="20"/>
              </w:rPr>
              <w:t> </w:t>
            </w:r>
            <w:r>
              <w:rPr>
                <w:rFonts w:hint="eastAsia" w:ascii="黑体" w:hAnsi="宋体" w:eastAsia="黑体" w:cs="黑体"/>
                <w:color w:val="000000"/>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173E7639">
            <w:pPr>
              <w:keepNext w:val="0"/>
              <w:keepLines w:val="0"/>
              <w:pageBreakBefore w:val="0"/>
              <w:kinsoku/>
              <w:wordWrap/>
              <w:overflowPunct/>
              <w:topLinePunct w:val="0"/>
              <w:autoSpaceDE/>
              <w:autoSpaceDN/>
              <w:bidi w:val="0"/>
              <w:adjustRightInd/>
              <w:snapToGrid/>
              <w:spacing w:line="560" w:lineRule="exact"/>
              <w:ind w:firstLine="0" w:firstLineChars="0"/>
              <w:textAlignment w:val="auto"/>
              <w:rPr>
                <w:rFonts w:hint="default" w:ascii="宋体" w:hAnsi="Times New Roman" w:eastAsia="仿宋_GB2312" w:cs="Times New Roman"/>
                <w:color w:val="000000"/>
                <w:sz w:val="24"/>
                <w:szCs w:val="24"/>
                <w:lang w:val="en-US" w:eastAsia="zh-CN"/>
              </w:rPr>
            </w:pPr>
            <w:r>
              <w:rPr>
                <w:rFonts w:hint="eastAsia" w:ascii="宋体" w:hAnsi="Times New Roman" w:eastAsia="仿宋_GB2312" w:cs="Times New Roman"/>
                <w:color w:val="000000"/>
                <w:sz w:val="24"/>
                <w:szCs w:val="24"/>
                <w:lang w:val="en-US" w:eastAsia="zh-CN"/>
              </w:rPr>
              <w:t xml:space="preserve"> 0</w:t>
            </w:r>
          </w:p>
        </w:tc>
      </w:tr>
    </w:tbl>
    <w:p w14:paraId="0B228A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五、存在的主要问题及改进情况</w:t>
      </w:r>
    </w:p>
    <w:p w14:paraId="4DED11E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2024年，针对部分股室政务信息主动公开意识不足和政策解读质量不高及形式单一等问题，我中心对症下药，制定有效措施：一是通过专题培训与绩效考核挂钩，强化各股室主动公开意识，及时公开规划发展股和市场推广股室政务信息。二是围绕旅游工作，通过“舒城文旅”抖音账号发布政策解读和活动宣传提升多样性。三是抓好与民生服务密切相关的文旅事业发展信息公开工作。</w:t>
      </w:r>
    </w:p>
    <w:p w14:paraId="68B1367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我中心在政务公开工作上付出了积极努力并取得一定进展，但结合新时代政务公开的高标准、高质量要求和群众对文旅领域信息的迫切需求，工作中仍存在一些短板与不足。一是公开内容不够全面及时，像景区动态、文旅</w:t>
      </w:r>
      <w:bookmarkStart w:id="0" w:name="_GoBack"/>
      <w:bookmarkEnd w:id="0"/>
      <w:r>
        <w:rPr>
          <w:rFonts w:hint="eastAsia" w:ascii="方正仿宋_GB2312" w:hAnsi="方正仿宋_GB2312" w:eastAsia="方正仿宋_GB2312" w:cs="方正仿宋_GB2312"/>
          <w:sz w:val="32"/>
          <w:szCs w:val="32"/>
          <w:lang w:val="en-US" w:eastAsia="zh-CN"/>
        </w:rPr>
        <w:t>活动、惠民措施等动态内容，不能第一时间在公开平台发布。二是公开形式与互动性不足，虽构建了多渠道公开平台，但信息发布仍以单向推送为主，新媒体平台的互动功能未充分发挥。</w:t>
      </w:r>
    </w:p>
    <w:p w14:paraId="3D93183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下一步我中心将认真总结工作，制定工作计划，贯彻落实相关指示要求，加强改进措施：一是优化信息发布机制，提升公开时效性与全面性。二是创新公开形式与互动模式，增强公开服务针对性。</w:t>
      </w:r>
    </w:p>
    <w:p w14:paraId="19C5083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六、其他需要报告的事项</w:t>
      </w:r>
    </w:p>
    <w:p w14:paraId="1EE533B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按照《国务院办公厅关于印发〈政府信息公开信息处理费管理办法〉 的通知》（国办函〔2020〕109号）规定的按件、按量收费标准，本年度没有产生信息公开处理费。</w:t>
      </w:r>
    </w:p>
    <w:p w14:paraId="7DDF31D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p>
    <w:p w14:paraId="5BB4D75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方正仿宋_GB2312" w:hAnsi="方正仿宋_GB2312" w:eastAsia="方正仿宋_GB2312" w:cs="方正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5E934EA7-47AF-44B9-A7BE-C25681518EE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embedRegular r:id="rId2" w:fontKey="{522954F0-8E97-4F94-9800-E2347CEB2FAD}"/>
  </w:font>
  <w:font w:name="方正公文小标宋">
    <w:panose1 w:val="02000500000000000000"/>
    <w:charset w:val="86"/>
    <w:family w:val="auto"/>
    <w:pitch w:val="default"/>
    <w:sig w:usb0="A00002BF" w:usb1="38CF7CFA" w:usb2="00000016" w:usb3="00000000" w:csb0="00040001" w:csb1="00000000"/>
    <w:embedRegular r:id="rId3" w:fontKey="{E122236A-8262-4853-AAAF-D27C73ADE2EE}"/>
  </w:font>
  <w:font w:name="方正仿宋_GB2312">
    <w:panose1 w:val="02000000000000000000"/>
    <w:charset w:val="86"/>
    <w:family w:val="auto"/>
    <w:pitch w:val="default"/>
    <w:sig w:usb0="A00002BF" w:usb1="184F6CFA" w:usb2="00000012" w:usb3="00000000" w:csb0="00040001" w:csb1="00000000"/>
    <w:embedRegular r:id="rId4" w:fontKey="{AB386BD2-C9BB-4D73-B030-2C33237327D0}"/>
  </w:font>
  <w:font w:name="仿宋_GB2312">
    <w:panose1 w:val="02010609030101010101"/>
    <w:charset w:val="86"/>
    <w:family w:val="auto"/>
    <w:pitch w:val="default"/>
    <w:sig w:usb0="00000001" w:usb1="080E0000" w:usb2="00000000" w:usb3="00000000" w:csb0="00040000" w:csb1="00000000"/>
    <w:embedRegular r:id="rId5" w:fontKey="{985FD2CA-3BE4-45BE-AD62-DC228109DFE4}"/>
  </w:font>
  <w:font w:name="楷体">
    <w:panose1 w:val="02010609060101010101"/>
    <w:charset w:val="86"/>
    <w:family w:val="modern"/>
    <w:pitch w:val="default"/>
    <w:sig w:usb0="800002BF" w:usb1="38CF7CFA" w:usb2="00000016" w:usb3="00000000" w:csb0="00040001" w:csb1="00000000"/>
    <w:embedRegular r:id="rId6" w:fontKey="{8A4CE409-1B9F-4609-A869-A193ACF9A87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2D3BDF"/>
    <w:multiLevelType w:val="singleLevel"/>
    <w:tmpl w:val="212D3BD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C0F21"/>
    <w:rsid w:val="047C774D"/>
    <w:rsid w:val="07724BA6"/>
    <w:rsid w:val="0AB33BB9"/>
    <w:rsid w:val="0B2907D4"/>
    <w:rsid w:val="0B3C7C36"/>
    <w:rsid w:val="0E1E5D15"/>
    <w:rsid w:val="0E7F149F"/>
    <w:rsid w:val="100038E3"/>
    <w:rsid w:val="135C149F"/>
    <w:rsid w:val="14877FF9"/>
    <w:rsid w:val="16C22235"/>
    <w:rsid w:val="186E51A7"/>
    <w:rsid w:val="19A940F3"/>
    <w:rsid w:val="1F55480E"/>
    <w:rsid w:val="23113B92"/>
    <w:rsid w:val="26807A4C"/>
    <w:rsid w:val="2DC52F77"/>
    <w:rsid w:val="2E0B376C"/>
    <w:rsid w:val="2FCA733B"/>
    <w:rsid w:val="321924F5"/>
    <w:rsid w:val="339F04B3"/>
    <w:rsid w:val="34677222"/>
    <w:rsid w:val="38094928"/>
    <w:rsid w:val="39C026EF"/>
    <w:rsid w:val="3E0F6D79"/>
    <w:rsid w:val="3FFA1169"/>
    <w:rsid w:val="4003616A"/>
    <w:rsid w:val="415A05D5"/>
    <w:rsid w:val="41CA2C38"/>
    <w:rsid w:val="41E64B44"/>
    <w:rsid w:val="43781824"/>
    <w:rsid w:val="45303661"/>
    <w:rsid w:val="456A4DC4"/>
    <w:rsid w:val="47A427A2"/>
    <w:rsid w:val="4AB77A51"/>
    <w:rsid w:val="4BB17B00"/>
    <w:rsid w:val="517E5CF6"/>
    <w:rsid w:val="53A56FC8"/>
    <w:rsid w:val="54420CBA"/>
    <w:rsid w:val="5CE61B3C"/>
    <w:rsid w:val="5D274ECE"/>
    <w:rsid w:val="5F3B1402"/>
    <w:rsid w:val="606A5821"/>
    <w:rsid w:val="638B442C"/>
    <w:rsid w:val="6A992FE3"/>
    <w:rsid w:val="6C7D068A"/>
    <w:rsid w:val="70A451A9"/>
    <w:rsid w:val="765B4ACC"/>
    <w:rsid w:val="788F00C3"/>
    <w:rsid w:val="7ADB4602"/>
    <w:rsid w:val="7CAA0846"/>
    <w:rsid w:val="7EBE1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2675</Words>
  <Characters>2757</Characters>
  <Lines>0</Lines>
  <Paragraphs>0</Paragraphs>
  <TotalTime>30</TotalTime>
  <ScaleCrop>false</ScaleCrop>
  <LinksUpToDate>false</LinksUpToDate>
  <CharactersWithSpaces>2960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老九</cp:lastModifiedBy>
  <dcterms:modified xsi:type="dcterms:W3CDTF">2026-01-21T02:12:14Z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C7BF069919D743FDABEDCF048856CB41_13</vt:lpwstr>
  </property>
  <property fmtid="{D5CDD505-2E9C-101B-9397-08002B2CF9AE}" pid="4" name="KSOTemplateDocerSaveRecord">
    <vt:lpwstr>eyJoZGlkIjoiMjUxMTgxMTA3YTZkM2QzOTZiODUyNjcwMTIwY2Y1ZDIiLCJ1c2VySWQiOiIxMDIwOTQxMTYwIn0=</vt:lpwstr>
  </property>
</Properties>
</file>