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664D7">
      <w:pPr>
        <w:pStyle w:val="2"/>
        <w:bidi w:val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舒城县科学技术局202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年政府信息公开工作年度报告</w:t>
      </w:r>
    </w:p>
    <w:p w14:paraId="0C572C11">
      <w:pPr>
        <w:bidi w:val="0"/>
        <w:rPr>
          <w:b w:val="0"/>
          <w:bCs w:val="0"/>
          <w:color w:val="auto"/>
        </w:rPr>
      </w:pPr>
    </w:p>
    <w:p w14:paraId="33B7C60C">
      <w:pPr>
        <w:numPr>
          <w:ilvl w:val="0"/>
          <w:numId w:val="0"/>
        </w:numPr>
        <w:bidi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根据《中华人民共和国政府信息公开条例》及国办公开办函〔2021〕30号文件要求，编制202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年度舒城县科学技术局信息公开年度报告，数据统计时间为202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年12月31日。如对本报告有任何疑问，请与舒城县科技局联系（地址：舒城县城关镇花桥路司法局4楼；邮编：231300；联系电话：0564-8621246）。</w:t>
      </w:r>
    </w:p>
    <w:p w14:paraId="62EA596D">
      <w:pPr>
        <w:numPr>
          <w:ilvl w:val="0"/>
          <w:numId w:val="0"/>
        </w:numPr>
        <w:bidi w:val="0"/>
        <w:ind w:firstLine="640" w:firstLineChars="20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总体情况</w:t>
      </w:r>
    </w:p>
    <w:p w14:paraId="66D4FD68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1.主动公开情况：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加强政策解读。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拓展线下解读渠道，2025年5月、9月组织在开发区及城关园区举办科技政策宣讲会，提供面对面政策解读，切实提高政策知晓率。创新公众参与方式，2025年5月的第三周"科技活动周"期间开展以“政策宣讲+现场解答”形式的政府开放日活动，提升公众参与质效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积极回应社会关切。落实政务舆情回应主体责任，加强与群众的双向互动，及时解疑释惑，引导社会舆论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2025年主动回应科技领域相关信息50余条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聚焦科技重点领域深化公开。持续完善重点领域信息，突出高新技术企业认定、惠企政策兑现等关键业务信息发布，增强公开内容的实用性与服务性。</w:t>
      </w:r>
    </w:p>
    <w:p w14:paraId="1F64FA1B">
      <w:pPr>
        <w:numPr>
          <w:ilvl w:val="0"/>
          <w:numId w:val="0"/>
        </w:numPr>
        <w:bidi w:val="0"/>
        <w:ind w:firstLine="643" w:firstLineChars="200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依申请公开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严格落实新《中华人民共和国政府信息公开条例》中对法定不予公开条款坚持最小化适用原则，最大限度保障公民知情权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2025年科技局共计收到依申请公开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件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已依据申请人的诉求，给与答复。</w:t>
      </w:r>
    </w:p>
    <w:p w14:paraId="64A36AEE">
      <w:pPr>
        <w:numPr>
          <w:ilvl w:val="0"/>
          <w:numId w:val="0"/>
        </w:numPr>
        <w:bidi w:val="0"/>
        <w:ind w:firstLine="643" w:firstLineChars="200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3.政府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信息管理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开展部门文件栏目信息清理工作，对于失效无效信息及时删除，对于相关栏目年久的信息取消发布，2025年共计取消发布90余条。开展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涉敏涉隐私信息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与错敏字纠改排查工作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发现问题及时解决。</w:t>
      </w:r>
    </w:p>
    <w:p w14:paraId="71E40B77">
      <w:pPr>
        <w:numPr>
          <w:ilvl w:val="0"/>
          <w:numId w:val="0"/>
        </w:numPr>
        <w:bidi w:val="0"/>
        <w:ind w:firstLine="643" w:firstLineChars="200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4.政府信息公开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平台建设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情况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充分发挥政府网站作为政府信息公开第一平台的作用，做好网站信息公开栏目日常管理、内容发布、更新维护。明确划分、压紧压实网站栏目维护职责，对内容维护不到位的相关责任事项限期整改到位。</w:t>
      </w:r>
      <w:bookmarkStart w:id="0" w:name="_GoBack"/>
      <w:bookmarkEnd w:id="0"/>
    </w:p>
    <w:p w14:paraId="0187D911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监督保障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抓好政务公开培训整改。组织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各股室所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工作人员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开展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政务公开业务培训，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每季度召开政务公开工作推进会，及时分析研判当前重点工作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，对照测评问题清单，及时落实整改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强化任务落实，将政务公开工作细化分解到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各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部门，加强监督检查、调度推进和情况通报，提升工作质效。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三是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强化责任追究，全年未发生因不履行政务公开义务而发生的责任追究情况。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社会评议情况，本年度未开展社会评议。</w:t>
      </w:r>
    </w:p>
    <w:p w14:paraId="21D81E88">
      <w:pPr>
        <w:bidi w:val="0"/>
        <w:ind w:firstLine="640" w:firstLineChars="20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二、主动公开政府信息情况</w:t>
      </w:r>
    </w:p>
    <w:tbl>
      <w:tblPr>
        <w:tblStyle w:val="3"/>
        <w:tblW w:w="974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 w14:paraId="4F72EE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0272F9D8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第二十条第（一）项</w:t>
            </w:r>
          </w:p>
        </w:tc>
      </w:tr>
      <w:tr w14:paraId="6B91AC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1C6B8E2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350D0E3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本年制发件数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D7BF1F0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C66DDB2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现行有效件数</w:t>
            </w:r>
          </w:p>
        </w:tc>
      </w:tr>
      <w:tr w14:paraId="0BA6EB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C8C7FDA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D5E62F0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　　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BFC52AE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　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258A357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　</w:t>
            </w:r>
          </w:p>
        </w:tc>
      </w:tr>
      <w:tr w14:paraId="227621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903CE54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9287DFC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　　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438963E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　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863BE16">
            <w:pPr>
              <w:widowControl/>
              <w:jc w:val="center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　</w:t>
            </w:r>
          </w:p>
        </w:tc>
      </w:tr>
      <w:tr w14:paraId="63772A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3F89FE24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第二十条第（五）项</w:t>
            </w:r>
          </w:p>
        </w:tc>
      </w:tr>
      <w:tr w14:paraId="3AE4F2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50B9B48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FE62C11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本年处理决定数量</w:t>
            </w:r>
          </w:p>
        </w:tc>
      </w:tr>
      <w:tr w14:paraId="5A7C0E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9F41963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6888E8E">
            <w:pPr>
              <w:widowControl/>
              <w:jc w:val="center"/>
              <w:rPr>
                <w:rFonts w:hint="eastAsia"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0</w:t>
            </w:r>
          </w:p>
        </w:tc>
      </w:tr>
      <w:tr w14:paraId="1409EC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4819881F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第二十条第（六）项</w:t>
            </w:r>
          </w:p>
        </w:tc>
      </w:tr>
      <w:tr w14:paraId="16E265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452618C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9F52171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本年处理决定数量</w:t>
            </w:r>
          </w:p>
        </w:tc>
      </w:tr>
      <w:tr w14:paraId="373E29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D93ACD3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8B6D485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0B37F0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0EDD217">
            <w:pPr>
              <w:widowControl/>
              <w:jc w:val="left"/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54CE764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443B26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53F677B1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第二十条第（八）项</w:t>
            </w:r>
          </w:p>
        </w:tc>
      </w:tr>
      <w:tr w14:paraId="0A462B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83054EF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7BEA3ED3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本年收费金额（单位：万元）</w:t>
            </w:r>
          </w:p>
        </w:tc>
      </w:tr>
      <w:tr w14:paraId="21975F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835D8B8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6C14E32D">
            <w:pPr>
              <w:jc w:val="center"/>
              <w:rPr>
                <w:rFonts w:hint="eastAsia"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43D974D3">
      <w:pPr>
        <w:bidi w:val="0"/>
        <w:ind w:firstLine="640" w:firstLineChars="20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三、收到和处理政府信息公开申请情况</w:t>
      </w:r>
    </w:p>
    <w:tbl>
      <w:tblPr>
        <w:tblStyle w:val="3"/>
        <w:tblW w:w="9745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7"/>
        <w:gridCol w:w="943"/>
        <w:gridCol w:w="3219"/>
        <w:gridCol w:w="688"/>
        <w:gridCol w:w="688"/>
        <w:gridCol w:w="688"/>
        <w:gridCol w:w="688"/>
        <w:gridCol w:w="688"/>
        <w:gridCol w:w="688"/>
        <w:gridCol w:w="688"/>
      </w:tblGrid>
      <w:tr w14:paraId="217CFFD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358B54D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楷体" w:hAnsi="楷体" w:eastAsia="楷体" w:cs="楷体"/>
                <w:b w:val="0"/>
                <w:bCs w:val="0"/>
                <w:color w:val="auto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816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204A9C8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申请人情况</w:t>
            </w:r>
          </w:p>
        </w:tc>
      </w:tr>
      <w:tr w14:paraId="3C5F669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812A273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51B4A53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FDA1133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8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2C1BA5D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总计</w:t>
            </w:r>
          </w:p>
        </w:tc>
      </w:tr>
      <w:tr w14:paraId="2EB60EF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F01995F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C1C3D90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243472D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商业</w:t>
            </w:r>
          </w:p>
          <w:p w14:paraId="04DC7BEE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3817069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科研</w:t>
            </w:r>
          </w:p>
          <w:p w14:paraId="5BAE964D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D2A05D3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1FB61DA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1EBA41C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其他</w:t>
            </w:r>
          </w:p>
        </w:tc>
        <w:tc>
          <w:tcPr>
            <w:tcW w:w="688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E157FD3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14:paraId="5720F01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53F7465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2C6299A">
            <w:pPr>
              <w:widowControl/>
              <w:jc w:val="center"/>
              <w:rPr>
                <w:rFonts w:hint="eastAsia"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2766B27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7647505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9FC85F7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08DF76B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C936E63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19E4BA9">
            <w:pPr>
              <w:widowControl/>
              <w:jc w:val="center"/>
              <w:rPr>
                <w:rFonts w:hint="eastAsia"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</w:tr>
      <w:tr w14:paraId="731CDD2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EC29062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47758CF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7A30ABB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52EA28A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C4E6117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25E80F6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1935AD0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C594155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4707113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6C0B32D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376D6E6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551C276">
            <w:pPr>
              <w:widowControl/>
              <w:jc w:val="center"/>
              <w:rPr>
                <w:rFonts w:hint="eastAsia"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F5F1536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3C56B0F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E554A54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96A1606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EE98310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BBCA230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</w:tr>
      <w:tr w14:paraId="796E46C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6F5D647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4547C5E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kern w:val="0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5911A9F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4A5068B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904353B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761AD11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656C756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EF420D7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307FA8E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564EB4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3C39C67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2EE7FA9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AB9AE68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345A99C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7C9CBDA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6971AC28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BCD1A2B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6309F9C9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69306E9C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0276EA4C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E1C55D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single" w:color="auto" w:sz="4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76F6119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single" w:color="auto" w:sz="4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2CF2533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0EC331F4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A315C06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68F77CE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5CCA4783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019C9826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5FA5A3B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6038AE2E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C592CE1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23D9309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85A807E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BF5BF5F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7A028CC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C80D52D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F240BBE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96B084D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FD937D4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A614201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107FCBB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66A132A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5187EF6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3E1FBC4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7D6E069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8FEADBE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0D0093E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A825F60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6682B2FF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84008CE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47F9113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3A3F186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55AD30A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76B9069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3A539A7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CC67029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D011025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E6D7499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C636667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23EF3F6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04144692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7AA7A84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0D439414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6E692E0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056A4C9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134A2E8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B636AF1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CE10750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560EB281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68BC78A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682A1B1F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BC26917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D90EF80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E730645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8D6CDA0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73C5B74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12895FA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163F4FA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5919204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DE994EF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7989C4B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525E6882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27DCE43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07E96B6E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039FAB33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55768D09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2A16968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C9EF133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DEF74B1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AED1C44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23DB6F7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2DE7BBA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7EDD9F7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F5E4269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6D658F24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F288716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B2F4DFB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3F5AA8A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7FF2FB7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F5C0695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1AF7AFE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6841FCF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61C2C5AC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674BE010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731DF62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E1F50D5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9145462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55F89BDE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53FE456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10F5B99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DDD226D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E5DE412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6A11B497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0268E330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5173B67F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FA86BF7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B958B35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6679323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C8E406B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2874F3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646AEE7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98A9A21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1654E8F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001A2D0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9CB988F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E5E54DF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87EE373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59B44F0D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542AB26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67D11912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79A5044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8146B8F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E12DF3C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E088F26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BC5404A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335D371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6FD6907E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E0309B8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7E4BB99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5D8B4C1C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C00C953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1B4F93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F72FD98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8C15428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D6607D8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A65563D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FDD83D5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6C208A6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DAC73E3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387F332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5F193C32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A00419A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4764DED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7B6DB37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0A95FD2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4DE750E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05B21707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6BB02A8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0132125C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CB473AD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5EE2EE2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5A44133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2C195F0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2AF86B6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08BA834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48A6CCB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76FC883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FDC7274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1A44BAD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F83B18A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8E4DAE7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C098C76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5BDB1EBB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44E7967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41B3CF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DA38B04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D836E86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EA77770">
            <w:pPr>
              <w:widowControl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42AC326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19F8714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242AE3E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82B4374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1BB8A7A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3AE7B43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FDC8200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F114A9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A6079FC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B8FBC07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F549988">
            <w:pPr>
              <w:widowControl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F8E370E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8CE5605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2AF9F6E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84E0502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2AD6273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9B15FA8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34C4C0E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2E5B67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7F6F090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6536ECB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230985C">
            <w:pPr>
              <w:widowControl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300E2D9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4B946E9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4167E62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0546FB8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40E2A03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AD6661D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A651964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20B6B3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089A0B2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F15F650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4FF5173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CAB537A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1A195A0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B67724F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109C44D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BD4DE09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9BE4DEC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50B4FE7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0F657F7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4B393A4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F2231F3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59FA245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E5FDA41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0AEE86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D59C1F6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22C3B12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A4E4CA0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top"/>
          </w:tcPr>
          <w:p w14:paraId="26A1AA8F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</w:tr>
      <w:tr w14:paraId="05BB5CB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604D241">
            <w:pPr>
              <w:widowControl/>
              <w:jc w:val="left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D6E5AC2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CA2E8B7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2B90653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87D1D21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31696DE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8D61EE8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3797827">
            <w:pPr>
              <w:jc w:val="center"/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Calibri" w:hAnsi="Calibri" w:eastAsia="仿宋_GB2312" w:cs="Calibri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</w:tbl>
    <w:p w14:paraId="7C0272BD">
      <w:pPr>
        <w:bidi w:val="0"/>
        <w:ind w:firstLine="640" w:firstLineChars="20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四、政府信息公开行政复议、行政诉讼情况</w:t>
      </w:r>
    </w:p>
    <w:tbl>
      <w:tblPr>
        <w:tblStyle w:val="3"/>
        <w:tblW w:w="9743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0"/>
        <w:gridCol w:w="650"/>
        <w:gridCol w:w="650"/>
        <w:gridCol w:w="650"/>
        <w:gridCol w:w="650"/>
      </w:tblGrid>
      <w:tr w14:paraId="74E7B87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2A34642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49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28C8CD9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行政诉讼</w:t>
            </w:r>
          </w:p>
        </w:tc>
      </w:tr>
      <w:tr w14:paraId="3AB9B7D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BE8C4F6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C014338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0BA6ADE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DE6E2CA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33137AA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9E15C25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25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8A0E7C4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复议后起诉</w:t>
            </w:r>
          </w:p>
        </w:tc>
      </w:tr>
      <w:tr w14:paraId="47657DC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AC1F77D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8B4605A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AF2B1B3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227997C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91E1C14">
            <w:pPr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850E376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DDDBEEB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85E5F36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6C9E6D2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3BEE4E7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总计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DA74644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维持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D7B60F0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C5EE39C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29992B5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D19316A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</w:rPr>
              <w:t>总计</w:t>
            </w:r>
          </w:p>
        </w:tc>
      </w:tr>
      <w:tr w14:paraId="2F7F851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24B663F">
            <w:pPr>
              <w:widowControl/>
              <w:jc w:val="center"/>
              <w:rPr>
                <w:rFonts w:hint="eastAsia" w:ascii="仿宋_GB2312" w:hAnsi="Times New Roman" w:eastAsia="黑体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1189C09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4C14567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E7BA617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9D79103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CE40C64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489BF3B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4FB362E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42802D1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FDCC83F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37550DA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E74DBAB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95AB713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D4A7A6A">
            <w:pPr>
              <w:widowControl/>
              <w:jc w:val="center"/>
              <w:rPr>
                <w:rFonts w:ascii="仿宋_GB2312" w:hAnsi="Times New Roman" w:eastAsia="仿宋_GB2312" w:cs="Times New Roman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BD6DFFD">
            <w:pPr>
              <w:widowControl/>
              <w:jc w:val="center"/>
              <w:rPr>
                <w:rFonts w:ascii="宋体" w:hAnsi="Times New Roman" w:eastAsia="仿宋_GB2312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</w:tbl>
    <w:p w14:paraId="79EC2330">
      <w:pPr>
        <w:bidi w:val="0"/>
        <w:rPr>
          <w:b w:val="0"/>
          <w:bCs w:val="0"/>
          <w:color w:val="auto"/>
        </w:rPr>
      </w:pPr>
    </w:p>
    <w:p w14:paraId="78715B09">
      <w:pPr>
        <w:bidi w:val="0"/>
        <w:ind w:firstLine="640" w:firstLineChars="20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五、存在的主要问题及改进情况</w:t>
      </w:r>
    </w:p>
    <w:p w14:paraId="5F742B21">
      <w:pPr>
        <w:bidi w:val="0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上年度存在问题整改情况：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年度出现的问题均已整改完成，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信息公开计划结合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科技工作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实际，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围绕</w:t>
      </w:r>
      <w:r>
        <w:rPr>
          <w:rFonts w:hint="eastAsia" w:ascii="仿宋_GB2312" w:hAnsi="仿宋_GB2312" w:eastAsia="仿宋_GB2312" w:cs="仿宋_GB2312"/>
          <w:sz w:val="32"/>
          <w:szCs w:val="32"/>
        </w:rPr>
        <w:t>高新技术企业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全社会研发投入经费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 科技特派员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科技宣传活动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重点工作，按季度公开工作进展情况；二是加强对信息公开内容的整合，结合科技活动周及“政府开放日”活动，通过搭建政策咨询台、召开政策宣讲会等方式，收集公众的需求，围绕群众关心的重点工作，有针对性地公开科技工作情况。</w:t>
      </w:r>
    </w:p>
    <w:p w14:paraId="79CEBE4C">
      <w:pPr>
        <w:bidi w:val="0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本年度存在的主要问题：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涉企信息发布较少，涉企信息对于企业具有重要的参考价值，但当前在涉企信息发布方面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较为欠缺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</w:rPr>
        <w:t>在信息公开前，对服务对象，特别是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科技类</w:t>
      </w:r>
      <w:r>
        <w:rPr>
          <w:rFonts w:hint="eastAsia" w:ascii="仿宋_GB2312" w:hAnsi="仿宋_GB2312" w:eastAsia="仿宋_GB2312" w:cs="仿宋_GB2312"/>
          <w:sz w:val="32"/>
          <w:szCs w:val="32"/>
        </w:rPr>
        <w:t>中小微企业、初创团队的信息需求调研分析不够系统深入，未能精准识别和区分不同群体的关注焦点与认知水平。</w:t>
      </w:r>
    </w:p>
    <w:p w14:paraId="62428014">
      <w:pPr>
        <w:bidi w:val="0"/>
        <w:ind w:firstLine="643" w:firstLineChars="200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下一步改进措施：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</w:rPr>
        <w:t>部门的联系，定期交流涉企工作进度，及时发布相关信息，以满足企业和公众的需求。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通过定期走访企业、召开座谈会等方式，主动收集、精准研判各类创新主体的信息需求，及时对反馈结果进行分析研判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592B1A1">
      <w:pPr>
        <w:numPr>
          <w:ilvl w:val="0"/>
          <w:numId w:val="0"/>
        </w:numPr>
        <w:bidi w:val="0"/>
        <w:ind w:firstLine="640" w:firstLineChars="20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六、其他需要报告的事项</w:t>
      </w:r>
    </w:p>
    <w:p w14:paraId="1E9527EE">
      <w:pPr>
        <w:numPr>
          <w:ilvl w:val="0"/>
          <w:numId w:val="0"/>
        </w:numPr>
        <w:bidi w:val="0"/>
        <w:ind w:firstLine="640" w:firstLineChars="200"/>
        <w:rPr>
          <w:b w:val="0"/>
          <w:bCs w:val="0"/>
          <w:color w:val="auto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按照《国务院办公厅关于印发〈政府信息公开信息处理费管理办法〉 的通知》（国办函〔2020〕109号）规定的按件、按量收费标准，本年度没有产生信息公开处理费。</w:t>
      </w:r>
    </w:p>
    <w:sectPr>
      <w:footerReference r:id="rId3" w:type="default"/>
      <w:footerReference r:id="rId4" w:type="even"/>
      <w:pgSz w:w="11906" w:h="16838"/>
      <w:pgMar w:top="1814" w:right="1474" w:bottom="1264" w:left="1588" w:header="851" w:footer="1021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71793E">
    <w:pPr>
      <w:widowControl w:val="0"/>
      <w:tabs>
        <w:tab w:val="center" w:pos="4153"/>
        <w:tab w:val="right" w:pos="8306"/>
      </w:tabs>
      <w:snapToGrid w:val="0"/>
      <w:jc w:val="right"/>
      <w:rPr>
        <w:rFonts w:ascii="仿宋_GB2312" w:hAnsi="Times New Roman" w:eastAsia="仿宋_GB2312" w:cs="Times New Roman"/>
        <w:kern w:val="2"/>
        <w:sz w:val="28"/>
        <w:szCs w:val="28"/>
        <w:lang w:val="en-US" w:eastAsia="zh-CN" w:bidi="ar-SA"/>
      </w:rPr>
    </w:pPr>
    <w:r>
      <w:rPr>
        <w:rFonts w:hint="eastAsia" w:ascii="仿宋_GB2312" w:hAnsi="Times New Roman" w:eastAsia="仿宋_GB2312" w:cs="Times New Roman"/>
        <w:kern w:val="2"/>
        <w:sz w:val="28"/>
        <w:szCs w:val="28"/>
        <w:lang w:val="en-US" w:eastAsia="zh-CN" w:bidi="ar-SA"/>
      </w:rPr>
      <w:t>-</w:t>
    </w:r>
    <w:r>
      <w:rPr>
        <w:rFonts w:ascii="仿宋_GB2312" w:hAnsi="Times New Roman" w:eastAsia="仿宋_GB2312" w:cs="Times New Roman"/>
        <w:kern w:val="2"/>
        <w:sz w:val="28"/>
        <w:szCs w:val="28"/>
        <w:lang w:val="en-US" w:eastAsia="zh-CN" w:bidi="ar-SA"/>
      </w:rPr>
      <w:fldChar w:fldCharType="begin"/>
    </w:r>
    <w:r>
      <w:rPr>
        <w:rFonts w:ascii="仿宋_GB2312" w:hAnsi="Times New Roman" w:eastAsia="仿宋_GB2312" w:cs="Times New Roman"/>
        <w:kern w:val="2"/>
        <w:sz w:val="28"/>
        <w:szCs w:val="28"/>
        <w:lang w:val="en-US" w:eastAsia="zh-CN" w:bidi="ar-SA"/>
      </w:rPr>
      <w:instrText xml:space="preserve"> PAGE </w:instrText>
    </w:r>
    <w:r>
      <w:rPr>
        <w:rFonts w:ascii="仿宋_GB2312" w:hAnsi="Times New Roman" w:eastAsia="仿宋_GB2312" w:cs="Times New Roman"/>
        <w:kern w:val="2"/>
        <w:sz w:val="28"/>
        <w:szCs w:val="28"/>
        <w:lang w:val="en-US" w:eastAsia="zh-CN" w:bidi="ar-SA"/>
      </w:rPr>
      <w:fldChar w:fldCharType="separate"/>
    </w:r>
    <w:r>
      <w:rPr>
        <w:rFonts w:ascii="仿宋_GB2312" w:hAnsi="Times New Roman" w:eastAsia="仿宋_GB2312" w:cs="Times New Roman"/>
        <w:kern w:val="2"/>
        <w:sz w:val="28"/>
        <w:szCs w:val="28"/>
        <w:lang w:val="en-US" w:eastAsia="zh-CN" w:bidi="ar-SA"/>
      </w:rPr>
      <w:t>9</w:t>
    </w:r>
    <w:r>
      <w:rPr>
        <w:rFonts w:ascii="仿宋_GB2312" w:hAnsi="Times New Roman" w:eastAsia="仿宋_GB2312" w:cs="Times New Roman"/>
        <w:kern w:val="2"/>
        <w:sz w:val="28"/>
        <w:szCs w:val="28"/>
        <w:lang w:val="en-US" w:eastAsia="zh-CN" w:bidi="ar-SA"/>
      </w:rPr>
      <w:fldChar w:fldCharType="end"/>
    </w:r>
    <w:r>
      <w:rPr>
        <w:rFonts w:hint="eastAsia" w:ascii="仿宋_GB2312" w:hAnsi="Times New Roman" w:eastAsia="仿宋_GB2312" w:cs="Times New Roman"/>
        <w:kern w:val="2"/>
        <w:sz w:val="28"/>
        <w:szCs w:val="28"/>
        <w:lang w:val="en-US" w:eastAsia="zh-CN" w:bidi="ar-SA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A5DD8A">
    <w:pPr>
      <w:framePr w:wrap="around" w:vAnchor="text" w:hAnchor="margin" w:xAlign="outside" w:y="1"/>
      <w:widowControl w:val="0"/>
      <w:tabs>
        <w:tab w:val="center" w:pos="4153"/>
        <w:tab w:val="right" w:pos="8306"/>
      </w:tabs>
      <w:snapToGrid w:val="0"/>
      <w:jc w:val="left"/>
      <w:rPr>
        <w:rFonts w:ascii="仿宋_GB2312" w:hAnsi="Times New Roman" w:eastAsia="仿宋_GB2312" w:cs="Times New Roman"/>
        <w:kern w:val="2"/>
        <w:sz w:val="28"/>
        <w:szCs w:val="28"/>
        <w:lang w:val="en-US" w:eastAsia="zh-CN" w:bidi="ar-SA"/>
      </w:rPr>
    </w:pPr>
    <w:r>
      <w:rPr>
        <w:rFonts w:hint="eastAsia" w:ascii="仿宋_GB2312" w:hAnsi="Times New Roman" w:eastAsia="仿宋_GB2312" w:cs="Times New Roman"/>
        <w:kern w:val="2"/>
        <w:sz w:val="28"/>
        <w:szCs w:val="28"/>
        <w:lang w:val="en-US" w:eastAsia="zh-CN" w:bidi="ar-SA"/>
      </w:rPr>
      <w:t>-</w:t>
    </w:r>
    <w:r>
      <w:rPr>
        <w:rFonts w:ascii="仿宋_GB2312" w:hAnsi="Times New Roman" w:eastAsia="仿宋_GB2312" w:cs="Times New Roman"/>
        <w:kern w:val="2"/>
        <w:sz w:val="28"/>
        <w:szCs w:val="28"/>
        <w:lang w:val="en-US" w:eastAsia="zh-CN" w:bidi="ar-SA"/>
      </w:rPr>
      <w:fldChar w:fldCharType="begin"/>
    </w:r>
    <w:r>
      <w:rPr>
        <w:rFonts w:ascii="仿宋_GB2312" w:hAnsi="Times New Roman" w:eastAsia="仿宋_GB2312" w:cs="Times New Roman"/>
        <w:kern w:val="2"/>
        <w:sz w:val="28"/>
        <w:szCs w:val="28"/>
        <w:lang w:val="en-US" w:eastAsia="zh-CN" w:bidi="ar-SA"/>
      </w:rPr>
      <w:instrText xml:space="preserve">PAGE  </w:instrText>
    </w:r>
    <w:r>
      <w:rPr>
        <w:rFonts w:ascii="仿宋_GB2312" w:hAnsi="Times New Roman" w:eastAsia="仿宋_GB2312" w:cs="Times New Roman"/>
        <w:kern w:val="2"/>
        <w:sz w:val="28"/>
        <w:szCs w:val="28"/>
        <w:lang w:val="en-US" w:eastAsia="zh-CN" w:bidi="ar-SA"/>
      </w:rPr>
      <w:fldChar w:fldCharType="separate"/>
    </w:r>
    <w:r>
      <w:rPr>
        <w:rFonts w:ascii="仿宋_GB2312" w:hAnsi="Times New Roman" w:eastAsia="仿宋_GB2312" w:cs="Times New Roman"/>
        <w:kern w:val="2"/>
        <w:sz w:val="28"/>
        <w:szCs w:val="28"/>
        <w:lang w:val="en-US" w:eastAsia="zh-CN" w:bidi="ar-SA"/>
      </w:rPr>
      <w:t>8</w:t>
    </w:r>
    <w:r>
      <w:rPr>
        <w:rFonts w:ascii="仿宋_GB2312" w:hAnsi="Times New Roman" w:eastAsia="仿宋_GB2312" w:cs="Times New Roman"/>
        <w:kern w:val="2"/>
        <w:sz w:val="28"/>
        <w:szCs w:val="28"/>
        <w:lang w:val="en-US" w:eastAsia="zh-CN" w:bidi="ar-SA"/>
      </w:rPr>
      <w:fldChar w:fldCharType="end"/>
    </w:r>
    <w:r>
      <w:rPr>
        <w:rFonts w:hint="eastAsia" w:ascii="仿宋_GB2312" w:hAnsi="Times New Roman" w:eastAsia="仿宋_GB2312" w:cs="Times New Roman"/>
        <w:kern w:val="2"/>
        <w:sz w:val="28"/>
        <w:szCs w:val="28"/>
        <w:lang w:val="en-US" w:eastAsia="zh-CN" w:bidi="ar-SA"/>
      </w:rPr>
      <w:t>-</w:t>
    </w:r>
  </w:p>
  <w:p w14:paraId="791EF7BE">
    <w:pPr>
      <w:widowControl w:val="0"/>
      <w:tabs>
        <w:tab w:val="center" w:pos="4153"/>
        <w:tab w:val="right" w:pos="8306"/>
      </w:tabs>
      <w:snapToGrid w:val="0"/>
      <w:ind w:right="360" w:firstLine="360"/>
      <w:jc w:val="left"/>
      <w:rPr>
        <w:rFonts w:ascii="仿宋_GB2312" w:hAnsi="Times New Roman" w:eastAsia="仿宋_GB2312" w:cs="Times New Roman"/>
        <w:kern w:val="2"/>
        <w:sz w:val="28"/>
        <w:szCs w:val="28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962A3"/>
    <w:rsid w:val="030D0562"/>
    <w:rsid w:val="031A67DB"/>
    <w:rsid w:val="0AFC15E8"/>
    <w:rsid w:val="0DD51C7C"/>
    <w:rsid w:val="18D817CA"/>
    <w:rsid w:val="1CF85987"/>
    <w:rsid w:val="1E093376"/>
    <w:rsid w:val="25494FD2"/>
    <w:rsid w:val="25AA4E30"/>
    <w:rsid w:val="2AE35581"/>
    <w:rsid w:val="34B1337D"/>
    <w:rsid w:val="358D4A67"/>
    <w:rsid w:val="363C648D"/>
    <w:rsid w:val="376932B2"/>
    <w:rsid w:val="38E771FD"/>
    <w:rsid w:val="3EFC4966"/>
    <w:rsid w:val="41B15F81"/>
    <w:rsid w:val="464C44CA"/>
    <w:rsid w:val="4C2D08FA"/>
    <w:rsid w:val="4E7B3B9E"/>
    <w:rsid w:val="4E9B1B4B"/>
    <w:rsid w:val="52EA3518"/>
    <w:rsid w:val="54F02082"/>
    <w:rsid w:val="5A4A2677"/>
    <w:rsid w:val="5A862E7C"/>
    <w:rsid w:val="5B656B0B"/>
    <w:rsid w:val="5C097C0A"/>
    <w:rsid w:val="5E021BE6"/>
    <w:rsid w:val="5F220723"/>
    <w:rsid w:val="61744FEB"/>
    <w:rsid w:val="65D33E68"/>
    <w:rsid w:val="67016658"/>
    <w:rsid w:val="6A8219B9"/>
    <w:rsid w:val="6CEA1A52"/>
    <w:rsid w:val="6EA14B04"/>
    <w:rsid w:val="71C17B7F"/>
    <w:rsid w:val="75A373B3"/>
    <w:rsid w:val="75B23A9A"/>
    <w:rsid w:val="7763329E"/>
    <w:rsid w:val="77B0647D"/>
    <w:rsid w:val="7A9674E6"/>
    <w:rsid w:val="7BF3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2281</Words>
  <Characters>2364</Characters>
  <Lines>0</Lines>
  <Paragraphs>0</Paragraphs>
  <TotalTime>23</TotalTime>
  <ScaleCrop>false</ScaleCrop>
  <LinksUpToDate>false</LinksUpToDate>
  <CharactersWithSpaces>2488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戴大军</cp:lastModifiedBy>
  <dcterms:modified xsi:type="dcterms:W3CDTF">2026-01-23T07:05:32Z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90195B2CCD404D769FFE4564E7BD9A64_12</vt:lpwstr>
  </property>
  <property fmtid="{D5CDD505-2E9C-101B-9397-08002B2CF9AE}" pid="4" name="KSOTemplateDocerSaveRecord">
    <vt:lpwstr>eyJoZGlkIjoiNGM1ZGE4ODdjMGViYThhZGY2MDAyMDUyZDQ4ODRjOGQiLCJ1c2VySWQiOiI1MDA0NzMwMzUifQ==</vt:lpwstr>
  </property>
</Properties>
</file>