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3D137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舒城县财政局</w:t>
      </w:r>
    </w:p>
    <w:p w14:paraId="557D9374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44"/>
          <w:szCs w:val="44"/>
        </w:rPr>
        <w:t>2025</w:t>
      </w:r>
      <w:r>
        <w:rPr>
          <w:rFonts w:hint="eastAsia" w:ascii="方正小标宋简体" w:eastAsia="方正小标宋简体"/>
          <w:sz w:val="44"/>
          <w:szCs w:val="44"/>
        </w:rPr>
        <w:t>年政府信息公开工作年度报告</w:t>
      </w:r>
    </w:p>
    <w:p w14:paraId="08D0AC0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6247EC0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</w:pP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根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据《中华人民共和国政府信息公开条例》（国务院令第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711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号）和《国务院办公厅政府信息与政务公开办公室关于印发&lt;中华人民共和国政府信息公开工作年度报告格式&gt;的通知》（国办公开办函〔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2021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〕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30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号）要求，结合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5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年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舒城县财政局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政府信息公开工作编制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本报告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。本报告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所列数据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统计期限为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5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年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月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日至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12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月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31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日。如对本报告有任何疑问，请与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舒城县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财政局联系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（地址：舒城县城关镇桃溪路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176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号舒城县财政局西楼一楼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105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室信息中心，电话：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0564</w:t>
      </w: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-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8620275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，邮编：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231300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</w:rPr>
        <w:t>）。</w:t>
      </w:r>
    </w:p>
    <w:p w14:paraId="4F59537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textAlignment w:val="auto"/>
        <w:rPr>
          <w:rFonts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  <w:t>一、总体情况</w:t>
      </w:r>
    </w:p>
    <w:p w14:paraId="3C95D68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楷体_GBK" w:hAnsi="宋体" w:eastAsia="方正楷体_GBK" w:cs="Arial"/>
          <w:color w:val="333333"/>
          <w:kern w:val="0"/>
          <w:sz w:val="32"/>
          <w:szCs w:val="32"/>
        </w:rPr>
      </w:pPr>
      <w:r>
        <w:rPr>
          <w:rFonts w:hint="eastAsia" w:ascii="方正楷体_GBK" w:hAnsi="宋体" w:eastAsia="方正楷体_GBK" w:cs="Arial"/>
          <w:color w:val="333333"/>
          <w:kern w:val="0"/>
          <w:sz w:val="32"/>
          <w:szCs w:val="32"/>
        </w:rPr>
        <w:t>（一）主动公开情况</w:t>
      </w:r>
    </w:p>
    <w:p w14:paraId="3C830316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2025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年，舒城县财政局严格落实年度政务公开重点工作任务，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按月公开财政收支简况，及时公开预算绩效管理、财政监督检查等相关制度及工作动态，展现财政管理成效；严格落实行政执法公示工作制度，及时公开行政许可、行政处罚等权力运行结果；及时公开惠民惠农补贴政策清单，按月公开惠民惠农补贴资金发放情况，确保政策红利直达快享，主动接受社会监督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全年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共主动公开政府信息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205</w:t>
      </w:r>
      <w:r>
        <w:rPr>
          <w:rFonts w:ascii="方正仿宋_GBK" w:hAnsi="宋体" w:eastAsia="方正仿宋_GBK" w:cs="Arial"/>
          <w:color w:val="000000" w:themeColor="text1"/>
          <w:kern w:val="0"/>
          <w:sz w:val="32"/>
          <w:szCs w:val="32"/>
        </w:rPr>
        <w:t>条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  <w:lang w:val="en-US" w:eastAsia="zh-CN"/>
        </w:rPr>
        <w:t>积极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  <w:lang w:eastAsia="zh-CN"/>
        </w:rPr>
        <w:t>开展“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12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  <w:lang w:eastAsia="zh-CN"/>
        </w:rPr>
        <w:t>·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4</w:t>
      </w:r>
      <w:r>
        <w:rPr>
          <w:rFonts w:hint="eastAsia" w:ascii="方正仿宋_GBK" w:hAnsi="宋体" w:eastAsia="方正仿宋_GBK" w:cs="Arial"/>
          <w:color w:val="000000" w:themeColor="text1"/>
          <w:kern w:val="0"/>
          <w:sz w:val="32"/>
          <w:szCs w:val="32"/>
          <w:lang w:eastAsia="zh-CN"/>
        </w:rPr>
        <w:t>宪法宣传日”集中法治宣传活动，通过悬挂横幅、设立咨询台、发放宣传手册、现场解答等形式，积极宣传《会计法》《政府采购法》《财政违法行为处罚处分条例》等财政法规和惠民惠农财政补贴政策。</w:t>
      </w:r>
    </w:p>
    <w:p w14:paraId="571D0FBD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楷体_GBK" w:hAnsi="宋体" w:eastAsia="方正楷体_GBK" w:cs="Arial"/>
          <w:color w:val="333333"/>
          <w:kern w:val="0"/>
          <w:sz w:val="32"/>
          <w:szCs w:val="32"/>
        </w:rPr>
      </w:pPr>
      <w:r>
        <w:rPr>
          <w:rFonts w:hint="eastAsia" w:ascii="方正楷体_GBK" w:hAnsi="宋体" w:eastAsia="方正楷体_GBK" w:cs="Arial"/>
          <w:color w:val="333333"/>
          <w:kern w:val="0"/>
          <w:sz w:val="32"/>
          <w:szCs w:val="32"/>
        </w:rPr>
        <w:t>（二）依申请公开</w:t>
      </w:r>
    </w:p>
    <w:p w14:paraId="535C4AA6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依法规范办理政府信息公开申请，明确受理、审查、答复等环节时限与责任。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2025</w:t>
      </w:r>
      <w:r>
        <w:rPr>
          <w:rFonts w:ascii="方正仿宋_GBK" w:eastAsia="方正仿宋_GBK"/>
          <w:sz w:val="32"/>
          <w:szCs w:val="32"/>
        </w:rPr>
        <w:t>年共收到政府信息公开申请</w:t>
      </w:r>
      <w:r>
        <w:rPr>
          <w:rFonts w:hint="eastAsia" w:ascii="Times New Roman" w:hAnsi="Times New Roman" w:cs="Times New Roman"/>
          <w:color w:val="000000"/>
          <w:sz w:val="32"/>
          <w:szCs w:val="32"/>
          <w:shd w:val="clear" w:color="auto" w:fill="FFFFFF"/>
        </w:rPr>
        <w:t>4</w:t>
      </w:r>
      <w:r>
        <w:rPr>
          <w:rFonts w:ascii="方正仿宋_GBK" w:eastAsia="方正仿宋_GBK"/>
          <w:sz w:val="32"/>
          <w:szCs w:val="32"/>
        </w:rPr>
        <w:t>件，均</w:t>
      </w:r>
      <w:r>
        <w:rPr>
          <w:rFonts w:hint="eastAsia" w:ascii="方正仿宋_GBK" w:eastAsia="方正仿宋_GBK"/>
          <w:sz w:val="32"/>
          <w:szCs w:val="32"/>
        </w:rPr>
        <w:t>通过六安市依申请公开平台受理办结</w:t>
      </w:r>
      <w:r>
        <w:rPr>
          <w:rFonts w:ascii="方正仿宋_GBK" w:eastAsia="方正仿宋_GBK"/>
          <w:sz w:val="32"/>
          <w:szCs w:val="32"/>
        </w:rPr>
        <w:t>，未出现延期办理情况。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2025</w:t>
      </w:r>
      <w:r>
        <w:rPr>
          <w:rFonts w:ascii="方正仿宋_GBK" w:eastAsia="方正仿宋_GBK"/>
          <w:sz w:val="32"/>
          <w:szCs w:val="32"/>
        </w:rPr>
        <w:t>年未发生因政府信息公开引起的举报投诉、行政复议和行政诉讼。</w:t>
      </w:r>
    </w:p>
    <w:p w14:paraId="1A249955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楷体_GBK" w:hAnsi="宋体" w:eastAsia="方正楷体_GBK" w:cs="Arial"/>
          <w:color w:val="333333"/>
          <w:kern w:val="0"/>
          <w:sz w:val="32"/>
          <w:szCs w:val="32"/>
        </w:rPr>
        <w:t>（三）政府信息管理</w:t>
      </w:r>
    </w:p>
    <w:p w14:paraId="2E22901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开展行政规范性文件动态清理，</w:t>
      </w:r>
      <w:r>
        <w:rPr>
          <w:rFonts w:hint="eastAsia" w:ascii="方正仿宋_GBK" w:eastAsia="方正仿宋_GBK"/>
          <w:color w:val="000000"/>
          <w:sz w:val="32"/>
          <w:szCs w:val="32"/>
          <w:shd w:val="clear" w:color="auto" w:fill="FFFFFF"/>
        </w:rPr>
        <w:t>及时清理已公开信息中无效冗余数据，切实提升政府信息“含金量”</w:t>
      </w:r>
      <w:r>
        <w:rPr>
          <w:rFonts w:hint="eastAsia" w:ascii="方正仿宋_GBK" w:eastAsia="方正仿宋_GBK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2025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年新制定规范性文件</w:t>
      </w:r>
      <w:r>
        <w:rPr>
          <w:rFonts w:hint="eastAsia" w:ascii="Times New Roman" w:hAnsi="Times New Roman" w:cs="Times New Roman"/>
          <w:color w:val="000000"/>
          <w:sz w:val="32"/>
          <w:szCs w:val="32"/>
          <w:shd w:val="clear" w:color="auto" w:fill="FFFFFF"/>
        </w:rPr>
        <w:t>0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件，废止</w:t>
      </w:r>
      <w:r>
        <w:rPr>
          <w:rFonts w:hint="eastAsia" w:ascii="Times New Roman" w:hAnsi="Times New Roman" w:cs="Times New Roman"/>
          <w:color w:val="000000"/>
          <w:sz w:val="32"/>
          <w:szCs w:val="32"/>
          <w:shd w:val="clear" w:color="auto" w:fill="FFFFFF"/>
        </w:rPr>
        <w:t>1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件，现行有效</w:t>
      </w:r>
      <w:r>
        <w:rPr>
          <w:rFonts w:hint="eastAsia" w:ascii="Times New Roman" w:hAnsi="Times New Roman" w:cs="Times New Roman"/>
          <w:color w:val="000000"/>
          <w:sz w:val="32"/>
          <w:szCs w:val="32"/>
          <w:shd w:val="clear" w:color="auto" w:fill="FFFFFF"/>
        </w:rPr>
        <w:t>7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件。进一步完善信息发布审核机制，严格执行信息公开保密审查程序</w:t>
      </w:r>
      <w:r>
        <w:rPr>
          <w:rFonts w:hint="eastAsia" w:ascii="方正仿宋_GBK" w:eastAsia="方正仿宋_GBK"/>
          <w:color w:val="000000"/>
          <w:sz w:val="32"/>
          <w:szCs w:val="32"/>
          <w:shd w:val="clear" w:color="auto" w:fill="FFFFFF"/>
        </w:rPr>
        <w:t>，防范关联汇聚风险。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持续开展错敏信息及个人隐私泄露排查，对公开内容进行全面自查，确保信息发布合法合规。</w:t>
      </w:r>
    </w:p>
    <w:p w14:paraId="4BBAEE6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楷体_GBK" w:hAnsi="宋体" w:eastAsia="方正楷体_GBK" w:cs="Arial"/>
          <w:color w:val="333333"/>
          <w:kern w:val="0"/>
          <w:sz w:val="32"/>
          <w:szCs w:val="32"/>
        </w:rPr>
        <w:t>（四）政府信息公开平台建设情况</w:t>
      </w:r>
    </w:p>
    <w:p w14:paraId="5FA88C17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eastAsia="方正仿宋_GBK"/>
          <w:sz w:val="32"/>
          <w:szCs w:val="32"/>
          <w:shd w:val="clear" w:color="auto" w:fill="FFFFFF"/>
        </w:rPr>
        <w:t>落实主动公开目录动态调整机制，精减目录层级和数量，优化整合栏目内容，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提升信息检索便捷性和平</w:t>
      </w:r>
      <w:r>
        <w:rPr>
          <w:rFonts w:ascii="方正仿宋_GBK" w:eastAsia="方正仿宋_GBK"/>
          <w:sz w:val="32"/>
          <w:szCs w:val="32"/>
          <w:shd w:val="clear" w:color="auto" w:fill="FFFFFF"/>
        </w:rPr>
        <w:t>台服务功能。</w:t>
      </w:r>
      <w:r>
        <w:rPr>
          <w:rFonts w:hint="eastAsia" w:ascii="方正仿宋_GBK" w:eastAsia="方正仿宋_GBK"/>
          <w:sz w:val="32"/>
          <w:szCs w:val="32"/>
          <w:shd w:val="clear" w:color="auto" w:fill="FFFFFF"/>
        </w:rPr>
        <w:t>优化财政预决算专题专栏建设，</w:t>
      </w:r>
      <w:r>
        <w:rPr>
          <w:rFonts w:ascii="方正仿宋_GBK" w:eastAsia="方正仿宋_GBK"/>
          <w:sz w:val="32"/>
          <w:szCs w:val="32"/>
          <w:shd w:val="clear" w:color="auto" w:fill="FFFFFF"/>
        </w:rPr>
        <w:t>推动全县预算单位</w:t>
      </w:r>
      <w:r>
        <w:rPr>
          <w:rFonts w:hint="eastAsia" w:ascii="方正仿宋_GBK" w:eastAsia="方正仿宋_GBK"/>
          <w:sz w:val="32"/>
          <w:szCs w:val="32"/>
          <w:shd w:val="clear" w:color="auto" w:fill="FFFFFF"/>
        </w:rPr>
        <w:t>及时</w:t>
      </w:r>
      <w:r>
        <w:rPr>
          <w:rFonts w:ascii="方正仿宋_GBK" w:eastAsia="方正仿宋_GBK"/>
          <w:sz w:val="32"/>
          <w:szCs w:val="32"/>
          <w:shd w:val="clear" w:color="auto" w:fill="FFFFFF"/>
        </w:rPr>
        <w:t>规范公开财政预决算及</w:t>
      </w:r>
      <w:r>
        <w:rPr>
          <w:rFonts w:hint="eastAsia" w:ascii="方正仿宋_GBK" w:eastAsia="方正仿宋_GBK"/>
          <w:sz w:val="32"/>
          <w:szCs w:val="32"/>
          <w:shd w:val="clear" w:color="auto" w:fill="FFFFFF"/>
          <w:lang w:eastAsia="zh-CN"/>
        </w:rPr>
        <w:t>“</w:t>
      </w:r>
      <w:r>
        <w:rPr>
          <w:rFonts w:ascii="方正仿宋_GBK" w:eastAsia="方正仿宋_GBK"/>
          <w:sz w:val="32"/>
          <w:szCs w:val="32"/>
          <w:shd w:val="clear" w:color="auto" w:fill="FFFFFF"/>
        </w:rPr>
        <w:t>三公</w:t>
      </w:r>
      <w:r>
        <w:rPr>
          <w:rFonts w:hint="eastAsia" w:ascii="方正仿宋_GBK" w:eastAsia="方正仿宋_GBK"/>
          <w:sz w:val="32"/>
          <w:szCs w:val="32"/>
          <w:shd w:val="clear" w:color="auto" w:fill="FFFFFF"/>
          <w:lang w:eastAsia="zh-CN"/>
        </w:rPr>
        <w:t>”</w:t>
      </w:r>
      <w:r>
        <w:rPr>
          <w:rFonts w:ascii="方正仿宋_GBK" w:eastAsia="方正仿宋_GBK"/>
          <w:sz w:val="32"/>
          <w:szCs w:val="32"/>
          <w:shd w:val="clear" w:color="auto" w:fill="FFFFFF"/>
        </w:rPr>
        <w:t>经费信息。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加强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12345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热线知识库运维，及时更新财政相关政策及常见问题解答，保障知识准确性和服务效率。</w:t>
      </w:r>
    </w:p>
    <w:p w14:paraId="7E3D0128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楷体_GBK" w:hAnsi="宋体" w:eastAsia="方正楷体_GBK" w:cs="Arial"/>
          <w:color w:val="333333"/>
          <w:kern w:val="0"/>
          <w:sz w:val="32"/>
          <w:szCs w:val="32"/>
        </w:rPr>
        <w:t>（五）监督保障</w:t>
      </w:r>
    </w:p>
    <w:p w14:paraId="5E1CA47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健全政务公开工作机制，明确职责分工，加强业务培训和指导，提升工作队伍专业能力。认真落实县政务公开工作考核要求，对反馈问题做到立行立改。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2025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年未发生因政务公开不到位被问责的情形。</w:t>
      </w:r>
    </w:p>
    <w:p w14:paraId="725401C9">
      <w:pPr>
        <w:widowControl/>
        <w:shd w:val="clear"/>
        <w:ind w:firstLine="643" w:firstLineChars="200"/>
        <w:rPr>
          <w:rFonts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6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245BE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12300FE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3ADA3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76B58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67D23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6DEFD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2D659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 w14:paraId="72ECE7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178202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0E3698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75387D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A81FC9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9054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F35AC2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91D0A8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066FB8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CFC6A3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14:paraId="2D2DDF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28F1D99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65519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EDC0E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BA820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6A60C5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967625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7AE02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6D3B0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1737D76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442D07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20A9D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92829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67043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44E835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C7B5A6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7ED798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D4CB2D">
            <w:pPr>
              <w:widowControl/>
              <w:shd w:val="clear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6BDEB9">
            <w:pPr>
              <w:widowControl/>
              <w:shd w:val="clear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14079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3F932D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3D9B5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30EDD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4BDC2CE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7CDED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867CE9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3B21CB3">
            <w:pPr>
              <w:shd w:val="clear"/>
              <w:jc w:val="center"/>
              <w:rPr>
                <w:rFonts w:ascii="宋体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宋体" w:hAnsi="Times New Roman" w:eastAsia="仿宋_GB2312" w:cs="Times New Roman"/>
                <w:color w:val="000000"/>
                <w:sz w:val="24"/>
              </w:rPr>
              <w:t>0</w:t>
            </w:r>
          </w:p>
        </w:tc>
      </w:tr>
    </w:tbl>
    <w:p w14:paraId="09B736AB">
      <w:pPr>
        <w:widowControl/>
        <w:shd w:val="clear"/>
        <w:ind w:firstLine="643" w:firstLineChars="200"/>
        <w:rPr>
          <w:rFonts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6"/>
        <w:tblW w:w="9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587"/>
        <w:gridCol w:w="789"/>
      </w:tblGrid>
      <w:tr w14:paraId="0034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Mar>
              <w:left w:w="108" w:type="dxa"/>
              <w:right w:w="108" w:type="dxa"/>
            </w:tcMar>
            <w:vAlign w:val="center"/>
          </w:tcPr>
          <w:p w14:paraId="4F406FC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Mar>
              <w:left w:w="57" w:type="dxa"/>
              <w:right w:w="57" w:type="dxa"/>
            </w:tcMar>
            <w:vAlign w:val="center"/>
          </w:tcPr>
          <w:p w14:paraId="095AD65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申请人情况</w:t>
            </w:r>
          </w:p>
        </w:tc>
      </w:tr>
      <w:tr w14:paraId="0A648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Mar>
              <w:left w:w="108" w:type="dxa"/>
              <w:right w:w="108" w:type="dxa"/>
            </w:tcMar>
            <w:vAlign w:val="center"/>
          </w:tcPr>
          <w:p w14:paraId="7D4E83DB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88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265220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339" w:type="dxa"/>
            <w:gridSpan w:val="5"/>
            <w:tcMar>
              <w:left w:w="108" w:type="dxa"/>
              <w:right w:w="108" w:type="dxa"/>
            </w:tcMar>
            <w:vAlign w:val="center"/>
          </w:tcPr>
          <w:p w14:paraId="2BB3635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8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F0FDA04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1456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Mar>
              <w:left w:w="108" w:type="dxa"/>
              <w:right w:w="108" w:type="dxa"/>
            </w:tcMar>
            <w:vAlign w:val="center"/>
          </w:tcPr>
          <w:p w14:paraId="30F0169B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88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C65278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88" w:type="dxa"/>
            <w:tcMar>
              <w:left w:w="108" w:type="dxa"/>
              <w:right w:w="108" w:type="dxa"/>
            </w:tcMar>
            <w:vAlign w:val="center"/>
          </w:tcPr>
          <w:p w14:paraId="1D0F9F9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商业</w:t>
            </w:r>
          </w:p>
          <w:p w14:paraId="5687FFCC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Mar>
              <w:left w:w="108" w:type="dxa"/>
              <w:right w:w="108" w:type="dxa"/>
            </w:tcMar>
            <w:vAlign w:val="center"/>
          </w:tcPr>
          <w:p w14:paraId="051AE43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科研</w:t>
            </w:r>
          </w:p>
          <w:p w14:paraId="17A3C19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Mar>
              <w:left w:w="108" w:type="dxa"/>
              <w:right w:w="108" w:type="dxa"/>
            </w:tcMar>
            <w:vAlign w:val="center"/>
          </w:tcPr>
          <w:p w14:paraId="67561E4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Mar>
              <w:left w:w="108" w:type="dxa"/>
              <w:right w:w="108" w:type="dxa"/>
            </w:tcMar>
            <w:vAlign w:val="center"/>
          </w:tcPr>
          <w:p w14:paraId="32315B3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587" w:type="dxa"/>
            <w:tcMar>
              <w:left w:w="108" w:type="dxa"/>
              <w:right w:w="108" w:type="dxa"/>
            </w:tcMar>
            <w:vAlign w:val="center"/>
          </w:tcPr>
          <w:p w14:paraId="35352E5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78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94EB4D2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</w:tr>
      <w:tr w14:paraId="57A5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Mar>
              <w:left w:w="57" w:type="dxa"/>
              <w:right w:w="57" w:type="dxa"/>
            </w:tcMar>
            <w:vAlign w:val="center"/>
          </w:tcPr>
          <w:p w14:paraId="66CC8FE4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C438F9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1727AA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EE1F1C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2E4728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3B6BA8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3EB34AE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57ABD5D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14:paraId="6DD0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Mar>
              <w:left w:w="57" w:type="dxa"/>
              <w:right w:w="57" w:type="dxa"/>
            </w:tcMar>
            <w:vAlign w:val="center"/>
          </w:tcPr>
          <w:p w14:paraId="4A350881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92490D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D0CD6D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717D48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0C5880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1091A1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73F392B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0A30F96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</w:tr>
      <w:tr w14:paraId="5F8C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624530A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2" w:type="dxa"/>
            <w:gridSpan w:val="2"/>
            <w:tcMar>
              <w:left w:w="57" w:type="dxa"/>
              <w:right w:w="57" w:type="dxa"/>
            </w:tcMar>
            <w:vAlign w:val="center"/>
          </w:tcPr>
          <w:p w14:paraId="7D05B04D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6E3808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7DC598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D81C39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A1B46E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345A52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0AC3F58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062B7AF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14:paraId="7039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96C271E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162" w:type="dxa"/>
            <w:gridSpan w:val="2"/>
            <w:tcMar>
              <w:left w:w="57" w:type="dxa"/>
              <w:right w:w="57" w:type="dxa"/>
            </w:tcMar>
            <w:vAlign w:val="center"/>
          </w:tcPr>
          <w:p w14:paraId="48A33A71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504D88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2C0FD2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DF3242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428989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A0776B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6FC7230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69CAFF5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2D8A9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DB84923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5936BC0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4E918ED0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17759D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F2652A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A3AE03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BD3E1F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4D1782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4BEDAFD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3A320AA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2685A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8BF759E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579A47B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1E846BF9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6CCD49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3A174B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47AE27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1EEA0C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08B375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737F18E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3721769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2CC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D578275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ACC755F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2CB0EB4D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56092B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406A2F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0BBFA3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0C263D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16F96B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2303531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5C94774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28F30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20EF4D1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BC9F479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20785632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53B47F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6552CC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7F2650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1AB840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B7BB24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49F0BF1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7C66EA1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E885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98FDE30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56A3E72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2F0FBD92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5D1249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1A6AC7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3B5222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BCF3A9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CD1082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40A9091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031E850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22664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CE7838C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B57C7AF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5CA2357D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3AA542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BB0663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302A66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4EEBED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88037D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1A1E3F1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4E614FB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685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725647A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71D7693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1A9F7248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966988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8F245E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4920A7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598CA4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2645E4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1322787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3CCF5AA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B23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225AA3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29E430F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2AF08E9D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818096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970435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363F7C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D3EDD8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7D3EC8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5ABECF5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7207116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44F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80C7B13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5CFB04C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4796BCB0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FAABC3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EDEA04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A95BC9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B54D0C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A1A91D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19112A2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20B2A14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605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E49BD6F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A0E653F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7980D40B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67DF46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0500A9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48C576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F80C3C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9434B1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1B3083D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12AA526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9B95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34BF0DE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8F9BB29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2B5CC9DC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87259D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F11E73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9B82E1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8E01A1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E98110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387F60E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534657D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1B9DF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0FAE168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932C305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17EC4293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B7576D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D818D6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028844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8AE2A1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0015B9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1BB6D8E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10CF8F1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3049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95ACA1F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04BD75D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5CF03ECF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B31835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D83D24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F5D94D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9679DD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4525AA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4D82255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10F46E7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0DC9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CF9C920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A4FCB27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23871142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766D58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C7BC4F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BD36C7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C5E03C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72D4BF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369F143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13557BE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4B86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6374235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CAFF785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</w:tcPr>
          <w:p w14:paraId="2A617AF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DF6E29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6D2434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4E476F9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333CD5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95D5E6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3EB96A4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12A1ABA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1BCC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1D34912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F264FE4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  <w:vAlign w:val="center"/>
          </w:tcPr>
          <w:p w14:paraId="547A3262">
            <w:pPr>
              <w:widowControl/>
              <w:shd w:val="clea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179686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9A9747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B93FAC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C76798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35617A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106D619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  <w:vAlign w:val="center"/>
          </w:tcPr>
          <w:p w14:paraId="23EEF62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1BF7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789915D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CD07F10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9" w:type="dxa"/>
            <w:tcMar>
              <w:left w:w="57" w:type="dxa"/>
              <w:right w:w="57" w:type="dxa"/>
            </w:tcMar>
            <w:vAlign w:val="center"/>
          </w:tcPr>
          <w:p w14:paraId="700FFC55">
            <w:pPr>
              <w:widowControl/>
              <w:shd w:val="clea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5D6DA3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449801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F996B8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14F894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60A2D5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3B9EC7D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  <w:vAlign w:val="center"/>
          </w:tcPr>
          <w:p w14:paraId="25DED57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B8D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0FC92F5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C9F41E7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  <w:vAlign w:val="center"/>
          </w:tcPr>
          <w:p w14:paraId="23A3582F">
            <w:pPr>
              <w:widowControl/>
              <w:shd w:val="clea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6BF0874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3AB4AC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EC92A3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5DD5C7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AFEEE4F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5A950AC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  <w:vAlign w:val="center"/>
          </w:tcPr>
          <w:p w14:paraId="210249E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75F5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D0CAFA9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3CCE0A2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219" w:type="dxa"/>
            <w:tcMar>
              <w:left w:w="57" w:type="dxa"/>
              <w:right w:w="57" w:type="dxa"/>
            </w:tcMar>
            <w:vAlign w:val="center"/>
          </w:tcPr>
          <w:p w14:paraId="02D72EF4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FD52D1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A87C38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294E9BB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52C2211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F5B0C66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6711363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44E57200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87AE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D1CF107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162" w:type="dxa"/>
            <w:gridSpan w:val="2"/>
            <w:tcMar>
              <w:left w:w="57" w:type="dxa"/>
              <w:right w:w="57" w:type="dxa"/>
            </w:tcMar>
            <w:vAlign w:val="center"/>
          </w:tcPr>
          <w:p w14:paraId="462AF24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F4918B1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2D454158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07DADC4D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E9145C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FA29432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510A306C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605B306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5</w:t>
            </w:r>
          </w:p>
        </w:tc>
      </w:tr>
      <w:tr w14:paraId="750F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Mar>
              <w:left w:w="57" w:type="dxa"/>
              <w:right w:w="57" w:type="dxa"/>
            </w:tcMar>
            <w:vAlign w:val="center"/>
          </w:tcPr>
          <w:p w14:paraId="136C32B7">
            <w:pPr>
              <w:widowControl/>
              <w:shd w:val="clear"/>
              <w:jc w:val="lef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742B2B9E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1C67C235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4DB8E964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6C80607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Mar>
              <w:left w:w="57" w:type="dxa"/>
              <w:right w:w="57" w:type="dxa"/>
            </w:tcMar>
            <w:vAlign w:val="center"/>
          </w:tcPr>
          <w:p w14:paraId="3195564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14:paraId="214C0E23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89" w:type="dxa"/>
            <w:tcMar>
              <w:left w:w="57" w:type="dxa"/>
              <w:right w:w="57" w:type="dxa"/>
            </w:tcMar>
          </w:tcPr>
          <w:p w14:paraId="45CC7DBA">
            <w:pPr>
              <w:widowControl/>
              <w:shd w:val="clear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161DC1BB">
      <w:pPr>
        <w:widowControl/>
        <w:shd w:val="clear"/>
        <w:jc w:val="center"/>
        <w:rPr>
          <w:rFonts w:ascii="宋体" w:hAnsi="宋体" w:eastAsia="宋体" w:cs="宋体"/>
          <w:color w:val="000000"/>
          <w:sz w:val="24"/>
        </w:rPr>
      </w:pPr>
    </w:p>
    <w:p w14:paraId="797DD52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textAlignment w:val="auto"/>
        <w:rPr>
          <w:rFonts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  <w:t>四、政府信息公开行政复议、行政诉讼情况</w:t>
      </w:r>
    </w:p>
    <w:p w14:paraId="6980594B">
      <w:pPr>
        <w:widowControl/>
        <w:shd w:val="clear"/>
        <w:jc w:val="center"/>
        <w:rPr>
          <w:rFonts w:ascii="宋体" w:hAnsi="宋体" w:eastAsia="宋体" w:cs="宋体"/>
          <w:color w:val="000000"/>
          <w:sz w:val="24"/>
        </w:rPr>
      </w:pPr>
    </w:p>
    <w:tbl>
      <w:tblPr>
        <w:tblStyle w:val="6"/>
        <w:tblW w:w="97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15EB4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Mar>
              <w:left w:w="108" w:type="dxa"/>
              <w:right w:w="108" w:type="dxa"/>
            </w:tcMar>
            <w:vAlign w:val="center"/>
          </w:tcPr>
          <w:p w14:paraId="616A072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Mar>
              <w:left w:w="108" w:type="dxa"/>
              <w:right w:w="108" w:type="dxa"/>
            </w:tcMar>
            <w:vAlign w:val="center"/>
          </w:tcPr>
          <w:p w14:paraId="6CB1274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行政诉讼</w:t>
            </w:r>
          </w:p>
        </w:tc>
      </w:tr>
      <w:tr w14:paraId="4D488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8879A2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22D7A7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62E067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DE529C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D050C7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Mar>
              <w:left w:w="108" w:type="dxa"/>
              <w:right w:w="108" w:type="dxa"/>
            </w:tcMar>
            <w:vAlign w:val="center"/>
          </w:tcPr>
          <w:p w14:paraId="12D686B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Mar>
              <w:left w:w="108" w:type="dxa"/>
              <w:right w:w="108" w:type="dxa"/>
            </w:tcMar>
            <w:vAlign w:val="center"/>
          </w:tcPr>
          <w:p w14:paraId="4710E47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复议后起诉</w:t>
            </w:r>
          </w:p>
        </w:tc>
      </w:tr>
      <w:tr w14:paraId="327AC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F7BEF6C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61B722F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439F9AD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D0EE2AA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046EA3C">
            <w:pPr>
              <w:shd w:val="clear"/>
              <w:rPr>
                <w:rFonts w:ascii="宋体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742D8B6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77ECAC4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6F0E2DB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2497AD7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6479EDE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19EF0879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02DCC32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015A0036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106A9E3F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68199567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7AEFC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484D43E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25E93F5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3DB634D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50BAD988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59FAE282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1B292AA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Mar>
              <w:left w:w="108" w:type="dxa"/>
              <w:right w:w="108" w:type="dxa"/>
            </w:tcMar>
            <w:vAlign w:val="center"/>
          </w:tcPr>
          <w:p w14:paraId="283996E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313939A5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143DB86E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4A950270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0FBD0E51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465D3F6D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59E61D13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63A4DCDB">
            <w:pPr>
              <w:widowControl/>
              <w:shd w:val="clear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Mar>
              <w:left w:w="108" w:type="dxa"/>
              <w:right w:w="108" w:type="dxa"/>
            </w:tcMar>
            <w:vAlign w:val="center"/>
          </w:tcPr>
          <w:p w14:paraId="1D2A14B9">
            <w:pPr>
              <w:shd w:val="clear"/>
              <w:jc w:val="center"/>
              <w:rPr>
                <w:rFonts w:ascii="宋体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宋体" w:hAnsi="Times New Roman" w:eastAsia="仿宋_GB2312" w:cs="Times New Roman"/>
                <w:color w:val="000000"/>
                <w:sz w:val="24"/>
              </w:rPr>
              <w:t>0</w:t>
            </w:r>
          </w:p>
        </w:tc>
      </w:tr>
    </w:tbl>
    <w:p w14:paraId="3D0B971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textAlignment w:val="auto"/>
        <w:rPr>
          <w:rFonts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  <w:t>五、存在的主要问题及改进情况</w:t>
      </w:r>
    </w:p>
    <w:p w14:paraId="18FD31EA">
      <w:pPr>
        <w:pStyle w:val="5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firstLine="640" w:firstLineChars="200"/>
        <w:textAlignment w:val="auto"/>
        <w:rPr>
          <w:rFonts w:hint="eastAsia" w:ascii="方正仿宋_GBK" w:hAnsi="仿宋" w:eastAsia="方正仿宋_GBK" w:cs="宋体"/>
          <w:color w:val="000000"/>
          <w:sz w:val="32"/>
          <w:szCs w:val="32"/>
          <w:lang w:eastAsia="zh-CN"/>
        </w:rPr>
      </w:pPr>
      <w:r>
        <w:rPr>
          <w:rFonts w:hint="eastAsia" w:ascii="方正仿宋_GBK" w:hAnsi="仿宋" w:eastAsia="方正仿宋_GBK" w:cs="宋体"/>
          <w:color w:val="000000"/>
          <w:sz w:val="32"/>
          <w:szCs w:val="32"/>
        </w:rPr>
        <w:t>针对</w:t>
      </w:r>
      <w:r>
        <w:rPr>
          <w:rFonts w:ascii="Times New Roman" w:hAnsi="Times New Roman" w:eastAsia="方正仿宋_GBK"/>
          <w:color w:val="000000"/>
          <w:sz w:val="32"/>
          <w:szCs w:val="32"/>
        </w:rPr>
        <w:t>2024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</w:rPr>
        <w:t>年存在的信息公开的及时性和准确性有待提高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  <w:lang w:eastAsia="zh-CN"/>
        </w:rPr>
        <w:t>，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</w:rPr>
        <w:t>信息公开的渠道还需进一步拓宽的问题，舒城县财政局及时优化内部信息流转与审核发布流程，确立“谁制作、谁公开、谁负责”的原则，信息产生的业务股室（中心）是信息公开的第一责任主体，负责信息的初编、初审和报送，明确每一类信息（如财政预决算、惠民补贴发放等）的公开内容、标准格式、责任股室（中心）和最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  <w:lang w:eastAsia="zh-CN"/>
        </w:rPr>
        <w:t>迟</w:t>
      </w:r>
      <w:bookmarkStart w:id="0" w:name="_GoBack"/>
      <w:bookmarkEnd w:id="0"/>
      <w:r>
        <w:rPr>
          <w:rFonts w:hint="eastAsia" w:ascii="方正仿宋_GBK" w:hAnsi="仿宋" w:eastAsia="方正仿宋_GBK" w:cs="宋体"/>
          <w:color w:val="000000"/>
          <w:sz w:val="32"/>
          <w:szCs w:val="32"/>
        </w:rPr>
        <w:t>公开时限。定期通过政风行风热线、新闻发布会等渠道解读相关政策。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2025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</w:rPr>
        <w:t>年，舒城县财政局政府信息公开工作稳步推进，但仍存在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  <w:lang w:eastAsia="zh-CN"/>
        </w:rPr>
        <w:t>公开的政策文件格式不规范等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</w:rPr>
        <w:t>薄弱环节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  <w:lang w:eastAsia="zh-CN"/>
        </w:rPr>
        <w:t>。</w:t>
      </w:r>
    </w:p>
    <w:p w14:paraId="47290BFB">
      <w:pPr>
        <w:pStyle w:val="5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firstLine="640" w:firstLineChars="200"/>
        <w:jc w:val="both"/>
        <w:textAlignment w:val="auto"/>
        <w:rPr>
          <w:rFonts w:hint="default" w:ascii="方正仿宋_GBK" w:hAnsi="Calibri" w:eastAsia="方正仿宋_GBK"/>
          <w:sz w:val="32"/>
          <w:szCs w:val="32"/>
          <w:lang w:val="en-US"/>
        </w:rPr>
      </w:pPr>
      <w:r>
        <w:rPr>
          <w:rFonts w:hint="eastAsia" w:ascii="方正仿宋_GBK" w:hAnsi="仿宋" w:eastAsia="方正仿宋_GBK" w:cs="宋体"/>
          <w:color w:val="000000"/>
          <w:sz w:val="32"/>
          <w:szCs w:val="32"/>
        </w:rPr>
        <w:t>下一步</w:t>
      </w:r>
      <w:r>
        <w:rPr>
          <w:rFonts w:hint="eastAsia" w:ascii="方正仿宋_GBK" w:hAnsi="仿宋" w:eastAsia="方正仿宋_GBK" w:cs="宋体"/>
          <w:color w:val="000000"/>
          <w:sz w:val="32"/>
          <w:szCs w:val="32"/>
          <w:lang w:eastAsia="zh-CN"/>
        </w:rPr>
        <w:t>舒城县财政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局将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加强与舒城县政务公开办对接，主动学习相关政务公开政策，避免出现政策文件格式不规范等问题。</w:t>
      </w:r>
    </w:p>
    <w:p w14:paraId="79CEC42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textAlignment w:val="auto"/>
        <w:rPr>
          <w:rFonts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宋体" w:eastAsia="方正黑体_GBK" w:cs="宋体"/>
          <w:b/>
          <w:color w:val="000000"/>
          <w:kern w:val="0"/>
          <w:sz w:val="32"/>
          <w:szCs w:val="32"/>
          <w:shd w:val="clear" w:color="auto" w:fill="FFFFFF"/>
        </w:rPr>
        <w:t>六、其他需要报告的事项</w:t>
      </w:r>
    </w:p>
    <w:p w14:paraId="2E912EBA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</w:pPr>
      <w:r>
        <w:rPr>
          <w:rFonts w:hint="eastAsia" w:ascii="方正仿宋_GBK" w:eastAsia="方正仿宋_GBK"/>
          <w:color w:val="000000"/>
          <w:sz w:val="32"/>
          <w:szCs w:val="32"/>
          <w:shd w:val="clear" w:color="auto" w:fill="FFFFFF"/>
        </w:rPr>
        <w:t>按照《国务院办公厅关于印发（政府信息公开信息处理费管理办法）的通知》（国办函〔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2020</w:t>
      </w:r>
      <w:r>
        <w:rPr>
          <w:rFonts w:hint="eastAsia" w:ascii="方正仿宋_GBK" w:eastAsia="方正仿宋_GBK"/>
          <w:color w:val="000000"/>
          <w:sz w:val="32"/>
          <w:szCs w:val="32"/>
          <w:shd w:val="clear" w:color="auto" w:fill="FFFFFF"/>
        </w:rPr>
        <w:t>〕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109</w:t>
      </w:r>
      <w:r>
        <w:rPr>
          <w:rFonts w:hint="eastAsia" w:ascii="方正仿宋_GBK" w:eastAsia="方正仿宋_GBK"/>
          <w:color w:val="000000"/>
          <w:sz w:val="32"/>
          <w:szCs w:val="32"/>
          <w:shd w:val="clear" w:color="auto" w:fill="FFFFFF"/>
        </w:rPr>
        <w:t>号）规定的按件、按量收费标准，本年度未产生信息公开处理费。</w:t>
      </w:r>
    </w:p>
    <w:sectPr>
      <w:footerReference r:id="rId3" w:type="default"/>
      <w:footerReference r:id="rId4" w:type="even"/>
      <w:pgSz w:w="11906" w:h="16838"/>
      <w:pgMar w:top="1814" w:right="1474" w:bottom="1264" w:left="1588" w:header="851" w:footer="102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1AD4E">
    <w:pPr>
      <w:tabs>
        <w:tab w:val="center" w:pos="4153"/>
        <w:tab w:val="right" w:pos="8306"/>
      </w:tabs>
      <w:snapToGrid w:val="0"/>
      <w:jc w:val="right"/>
      <w:rPr>
        <w:rFonts w:ascii="仿宋_GB2312" w:hAnsi="Times New Roman" w:eastAsia="仿宋_GB2312" w:cs="Times New Roman"/>
        <w:sz w:val="28"/>
        <w:szCs w:val="28"/>
      </w:rPr>
    </w:pPr>
    <w:r>
      <w:rPr>
        <w:rFonts w:ascii="仿宋_GB2312" w:hAnsi="Times New Roman" w:eastAsia="仿宋_GB2312" w:cs="Times New Roman"/>
        <w:sz w:val="28"/>
        <w:szCs w:val="18"/>
      </w:rPr>
      <w:pict>
        <v:shape id="文本框 6" o:spid="_x0000_s4097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N2uBqfmAQAAyQMA&#10;AA4AAAAAAAAAAQAgAAAAHgEAAGRycy9lMm9Eb2MueG1sUEsFBgAAAAAGAAYAWQEAAHYFAAAAAA==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38A7E14">
                <w:pPr>
                  <w:tabs>
                    <w:tab w:val="center" w:pos="4153"/>
                    <w:tab w:val="right" w:pos="8306"/>
                  </w:tabs>
                  <w:snapToGrid w:val="0"/>
                  <w:jc w:val="right"/>
                  <w:rPr>
                    <w:rFonts w:ascii="仿宋_GB2312" w:hAnsi="Times New Roman" w:eastAsia="仿宋_GB2312" w:cs="Times New Roman"/>
                    <w:sz w:val="18"/>
                    <w:szCs w:val="18"/>
                  </w:rPr>
                </w:pPr>
                <w:r>
                  <w:rPr>
                    <w:rFonts w:hint="eastAsia" w:ascii="仿宋_GB2312" w:hAnsi="Times New Roman" w:eastAsia="仿宋_GB2312" w:cs="Times New Roman"/>
                    <w:sz w:val="28"/>
                    <w:szCs w:val="28"/>
                  </w:rPr>
                  <w:t>-</w:t>
                </w:r>
                <w:r>
                  <w:rPr>
                    <w:rFonts w:ascii="仿宋_GB2312" w:hAnsi="Times New Roman" w:eastAsia="仿宋_GB2312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_GB2312" w:hAnsi="Times New Roman" w:eastAsia="仿宋_GB2312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仿宋_GB2312" w:hAnsi="Times New Roman" w:eastAsia="仿宋_GB2312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 w:hAnsi="Times New Roman" w:eastAsia="仿宋_GB2312" w:cs="Times New Roman"/>
                    <w:sz w:val="28"/>
                    <w:szCs w:val="28"/>
                  </w:rPr>
                  <w:t>4</w:t>
                </w:r>
                <w:r>
                  <w:rPr>
                    <w:rFonts w:ascii="仿宋_GB2312" w:hAnsi="Times New Roman" w:eastAsia="仿宋_GB2312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仿宋_GB2312" w:hAnsi="Times New Roman" w:eastAsia="仿宋_GB2312" w:cs="Times New Roman"/>
                    <w:sz w:val="28"/>
                    <w:szCs w:val="28"/>
                  </w:rPr>
                  <w:t>-</w:t>
                </w:r>
              </w:p>
            </w:txbxContent>
          </v:textbox>
        </v:shape>
      </w:pict>
    </w:r>
  </w:p>
  <w:p w14:paraId="26CAE51C">
    <w:pPr>
      <w:rPr>
        <w:rFonts w:ascii="仿宋_GB2312" w:hAnsi="Times New Roman" w:eastAsia="仿宋_GB2312" w:cs="Times New Roman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8E35E">
    <w:pPr>
      <w:tabs>
        <w:tab w:val="center" w:pos="4153"/>
        <w:tab w:val="right" w:pos="8306"/>
      </w:tabs>
      <w:snapToGrid w:val="0"/>
      <w:ind w:right="360" w:firstLine="360"/>
      <w:jc w:val="left"/>
      <w:rPr>
        <w:rFonts w:ascii="仿宋_GB2312" w:hAnsi="Times New Roman" w:eastAsia="仿宋_GB2312" w:cs="Times New Roman"/>
        <w:sz w:val="28"/>
        <w:szCs w:val="28"/>
      </w:rPr>
    </w:pPr>
    <w:r>
      <w:rPr>
        <w:rFonts w:ascii="仿宋_GB2312" w:hAnsi="Times New Roman" w:eastAsia="仿宋_GB2312" w:cs="Times New Roman"/>
        <w:sz w:val="28"/>
        <w:szCs w:val="18"/>
      </w:rPr>
      <w:pict>
        <v:shape id="文本框 7" o:spid="_x0000_s4098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JYlO8XmAQAAyQMA&#10;AA4AAAAAAAAAAQAgAAAAHgEAAGRycy9lMm9Eb2MueG1sUEsFBgAAAAAGAAYAWQEAAHYFAAAAAA==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FE20BC6">
                <w:pPr>
                  <w:tabs>
                    <w:tab w:val="center" w:pos="4153"/>
                    <w:tab w:val="right" w:pos="8306"/>
                  </w:tabs>
                  <w:snapToGrid w:val="0"/>
                  <w:jc w:val="left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仿宋_GB2312" w:hAnsi="Times New Roman" w:eastAsia="仿宋_GB2312" w:cs="Times New Roman"/>
                    <w:sz w:val="28"/>
                    <w:szCs w:val="28"/>
                  </w:rPr>
                  <w:t>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5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-</w:t>
                </w:r>
              </w:p>
            </w:txbxContent>
          </v:textbox>
        </v:shape>
      </w:pict>
    </w:r>
  </w:p>
  <w:p w14:paraId="2E6EA1F7">
    <w:pPr>
      <w:rPr>
        <w:rFonts w:ascii="仿宋_GB2312" w:hAnsi="Times New Roman" w:eastAsia="仿宋_GB2312" w:cs="Times New Roman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0BF3"/>
    <w:rsid w:val="000155EB"/>
    <w:rsid w:val="00055D43"/>
    <w:rsid w:val="001B1C91"/>
    <w:rsid w:val="002546E4"/>
    <w:rsid w:val="003166E9"/>
    <w:rsid w:val="0033180B"/>
    <w:rsid w:val="003760A7"/>
    <w:rsid w:val="00446A56"/>
    <w:rsid w:val="0045335B"/>
    <w:rsid w:val="00453DC4"/>
    <w:rsid w:val="004578D4"/>
    <w:rsid w:val="00475DAE"/>
    <w:rsid w:val="004815B5"/>
    <w:rsid w:val="004D6571"/>
    <w:rsid w:val="00542D03"/>
    <w:rsid w:val="0057185C"/>
    <w:rsid w:val="005844EF"/>
    <w:rsid w:val="00584E02"/>
    <w:rsid w:val="005B00DA"/>
    <w:rsid w:val="005B6EC3"/>
    <w:rsid w:val="006B6A37"/>
    <w:rsid w:val="0074546C"/>
    <w:rsid w:val="007634C9"/>
    <w:rsid w:val="008540EC"/>
    <w:rsid w:val="008C5EF9"/>
    <w:rsid w:val="008F373B"/>
    <w:rsid w:val="00917164"/>
    <w:rsid w:val="00994412"/>
    <w:rsid w:val="009A0EA5"/>
    <w:rsid w:val="009B39EB"/>
    <w:rsid w:val="009B3AC6"/>
    <w:rsid w:val="00A60BF3"/>
    <w:rsid w:val="00A755E5"/>
    <w:rsid w:val="00AE06E3"/>
    <w:rsid w:val="00BB4A2E"/>
    <w:rsid w:val="00C24C7F"/>
    <w:rsid w:val="00C7167F"/>
    <w:rsid w:val="00CD1D1F"/>
    <w:rsid w:val="00D00505"/>
    <w:rsid w:val="00E05D0E"/>
    <w:rsid w:val="00E57BCF"/>
    <w:rsid w:val="00EB0FFC"/>
    <w:rsid w:val="00ED3898"/>
    <w:rsid w:val="00F66567"/>
    <w:rsid w:val="00F66655"/>
    <w:rsid w:val="02C871C9"/>
    <w:rsid w:val="033E2ABC"/>
    <w:rsid w:val="12AE17F5"/>
    <w:rsid w:val="19FD2332"/>
    <w:rsid w:val="1CC065D0"/>
    <w:rsid w:val="1E9845E6"/>
    <w:rsid w:val="20254749"/>
    <w:rsid w:val="24AB7E19"/>
    <w:rsid w:val="2FD17092"/>
    <w:rsid w:val="315B685C"/>
    <w:rsid w:val="3A7536F2"/>
    <w:rsid w:val="3EFD7FD2"/>
    <w:rsid w:val="3F5C6192"/>
    <w:rsid w:val="441C3B37"/>
    <w:rsid w:val="445531B7"/>
    <w:rsid w:val="46DA71BF"/>
    <w:rsid w:val="484C7D5F"/>
    <w:rsid w:val="4AD52F5A"/>
    <w:rsid w:val="4DF25005"/>
    <w:rsid w:val="4E0F0E79"/>
    <w:rsid w:val="50DC74A6"/>
    <w:rsid w:val="52EA3518"/>
    <w:rsid w:val="53DC4553"/>
    <w:rsid w:val="5A862E7C"/>
    <w:rsid w:val="5BDF3002"/>
    <w:rsid w:val="5C981587"/>
    <w:rsid w:val="61744FEB"/>
    <w:rsid w:val="67B833A1"/>
    <w:rsid w:val="6B1E75BB"/>
    <w:rsid w:val="6C537C6E"/>
    <w:rsid w:val="6CEA1A52"/>
    <w:rsid w:val="6E087D91"/>
    <w:rsid w:val="7142424C"/>
    <w:rsid w:val="7C43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4974FA-E2D8-4552-AD8C-3EC7F39081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2318</Words>
  <Characters>2407</Characters>
  <Lines>19</Lines>
  <Paragraphs>5</Paragraphs>
  <TotalTime>19</TotalTime>
  <ScaleCrop>false</ScaleCrop>
  <LinksUpToDate>false</LinksUpToDate>
  <CharactersWithSpaces>2407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2025-01-09T02:49:00Z</dcterms:created>
  <dc:creator>Administrator</dc:creator>
  <cp:lastModifiedBy>老余</cp:lastModifiedBy>
  <cp:lastPrinted>2026-01-21T06:35:00Z</cp:lastPrinted>
  <dcterms:modified xsi:type="dcterms:W3CDTF">2026-01-23T08:08:21Z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64CF4F7FA15B4F7188C21812440E0EF9_13</vt:lpwstr>
  </property>
  <property fmtid="{D5CDD505-2E9C-101B-9397-08002B2CF9AE}" pid="4" name="KSOTemplateDocerSaveRecord">
    <vt:lpwstr>eyJoZGlkIjoiMDE3NWIyNGEwOTZkOTQ3MTQ1ZjMzY2YyNGRjYTNjMjEiLCJ1c2VySWQiOiIyOTU1NjU2MjgifQ==</vt:lpwstr>
  </property>
</Properties>
</file>