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90F48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/>
        </w:rPr>
        <w:t>舒城县残疾人联合会2025年</w:t>
      </w: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政府信息公开</w:t>
      </w:r>
    </w:p>
    <w:p w14:paraId="0C572C11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仿宋_GB2312" w:cs="Times New Roman"/>
          <w:color w:val="000000"/>
          <w:kern w:val="0"/>
          <w:sz w:val="24"/>
          <w:szCs w:val="32"/>
        </w:rPr>
      </w:pPr>
      <w:r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</w:rPr>
        <w:t>工作年度报告</w:t>
      </w:r>
    </w:p>
    <w:p w14:paraId="483B94AE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宋体"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宋体"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本年度报告是根据《中华人民共和国政府信息公开条例》（国务院令第711号）和上级文件有关要求，结合政府信息公开工作有关统计数据，由舒城县残疾人联合会编制。全文包括6个部分：总体情况、主动公开政府信息情况、收到和处理政府信息公开申请情况、政府信息公开行政复议行政诉讼情况、政府信息公开工作存在主要问题及改进情况和其他需要报告事项。本年度报告中使用数据统计期限为2025年1月1日至2025年12月31日。如对本报告有任何疑问，请与舒城县残疾人联合会联系（地址：舒城县经济开发区纬一路；邮编：231300；联系电话：0564-2785989）。</w:t>
      </w:r>
    </w:p>
    <w:p w14:paraId="62EA596D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Times New Roman" w:hAnsi="Times New Roman" w:eastAsia="黑体" w:cs="黑体"/>
          <w:b w:val="0"/>
          <w:bCs w:val="0"/>
          <w:color w:val="000000"/>
          <w:kern w:val="0"/>
          <w:sz w:val="32"/>
          <w:szCs w:val="32"/>
        </w:rPr>
        <w:t>一、总体情况</w:t>
      </w:r>
    </w:p>
    <w:p w14:paraId="79C5AAE6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宋体"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宋体"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2025年，舒城县残疾人联合会依据《中华人民共和国政府信息公开条例》和《中华人民共和国政府信息公开工作年度报告格式》的规定，以提升政务公开质效为核心，强化组织领导、健全工作机制、夯实工作举措，全面推动政府信息公开工作规范有序开展，切实保障公众的知情权、参与权和监督权。</w:t>
      </w:r>
    </w:p>
    <w:p w14:paraId="079DED2C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" w:cs="楷体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  <w:t>（一）</w:t>
      </w:r>
      <w:r>
        <w:rPr>
          <w:rFonts w:hint="eastAsia" w:ascii="Times New Roman" w:hAnsi="Times New Roman" w:eastAsia="楷体" w:cs="楷体"/>
          <w:color w:val="000000"/>
          <w:sz w:val="32"/>
          <w:szCs w:val="32"/>
        </w:rPr>
        <w:t>主动公开情况</w:t>
      </w:r>
    </w:p>
    <w:p w14:paraId="7C434B29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坚持以公开为常态、不公开为例外，遵循公正、公平、合法、便民的原则，及时、准确地公开政府信息。2025年，共主动公开信息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162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其中决策部署落实情况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信息2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条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惠残资金信息7条，残疾人工作信息22条，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回复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政协委员提案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1件，更新了公共服务清单和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“高效办成一件事”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信息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开展残疾人康复、就业、教育、托养、无障碍等工作，并主动通过残疾人服务领域公开，全年公开信息40余条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通过主动公开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，接受社会各界监督，将政务公开与作风建设深度融合，以公开促规范、以公开提效能，切实提升行政工作透明度。</w:t>
      </w:r>
    </w:p>
    <w:p w14:paraId="430B7A95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  <w:t>（二）依申请公开</w:t>
      </w:r>
    </w:p>
    <w:p w14:paraId="7CD9DAB5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持续规范依申请公开办理流程，优化受理、审核、答复全链条管理，确保依法依规、及时高效回应群众诉求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2025年度，未收到政府信息公开申请。</w:t>
      </w:r>
    </w:p>
    <w:p w14:paraId="55B4CA98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  <w:t>（三）政府信息管理</w:t>
      </w:r>
    </w:p>
    <w:p w14:paraId="074E1B22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严格落实“谁分管、谁公开、谁负责”和“谁制定、谁公开、谁解读”的原则，进一步明确各部门在信息发布、政策解读、回应关切等方面的职责，形成分工明确、协调联动的工作机制。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全年清理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失效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无效历史信息清理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118条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开展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涉敏涉隐私信息排查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val="en-US" w:eastAsia="zh-CN"/>
        </w:rPr>
        <w:t>次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  <w:lang w:eastAsia="zh-CN"/>
        </w:rPr>
        <w:t>；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</w:rPr>
        <w:t>严格执行“先审后发”“一事一审”保密审查制度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highlight w:val="none"/>
        </w:rPr>
        <w:t>。</w:t>
      </w:r>
    </w:p>
    <w:p w14:paraId="7AEE132F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  <w:t>（四）政府信息公开平台建设情况</w:t>
      </w:r>
    </w:p>
    <w:p w14:paraId="41AB53F3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县残联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线上依托政务公开网、微信公众号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等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平台提高政策宣传效率，强化政务公开网站信息公开第一平台作用，每月通过网站向社会公开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涉残工作开展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情况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线下通过宣传台宣传残疾人政策，扩大宣传渠道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。强化平台运维管理，落实主动公开目录动态调整机制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及时调整栏目设置，定期更新内容。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及时更新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专题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内容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链接市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政策咨询综合服务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平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台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加强热线回复管理，创新公众参与方式，提升公众参与质效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。</w:t>
      </w:r>
    </w:p>
    <w:p w14:paraId="3192FCC5"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楷体" w:cs="楷体"/>
          <w:color w:val="000000"/>
          <w:kern w:val="2"/>
          <w:sz w:val="32"/>
          <w:szCs w:val="32"/>
          <w:lang w:val="en-US" w:eastAsia="zh-CN" w:bidi="ar-SA"/>
        </w:rPr>
        <w:t>（五）监督保障</w:t>
      </w:r>
    </w:p>
    <w:p w14:paraId="6D9D01CE">
      <w:pPr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县残联高度重视政务公开工作，</w:t>
      </w:r>
      <w:r>
        <w:rPr>
          <w:rFonts w:hint="eastAsia" w:ascii="Times New Roman" w:hAnsi="Times New Roman" w:eastAsia="仿宋_GB2312" w:cs="宋体"/>
          <w:bCs/>
          <w:color w:val="auto"/>
          <w:kern w:val="0"/>
          <w:sz w:val="32"/>
          <w:szCs w:val="32"/>
          <w:shd w:val="clear" w:color="auto" w:fill="FFFFFF"/>
          <w:lang w:val="en-US" w:eastAsia="zh-CN" w:bidi="ar-SA"/>
        </w:rPr>
        <w:t>将政务公开工作纳入年度重点任务，制定政务公开重点工作任务分工，压实各股室、就业所责任。办公室牵头开展日常调度与督查，积极参加相关业务培训，提升工作人员专业能力。主动接受社会监督，通过“意见箱”等渠道开展社会意见征集，广泛听取公众意见。全年未发生因政务公开不到位被追责的情况。</w:t>
      </w:r>
    </w:p>
    <w:p w14:paraId="21D81E88">
      <w:pPr>
        <w:widowControl/>
        <w:shd w:val="clear"/>
        <w:spacing w:before="0" w:beforeAutospacing="0" w:after="0" w:afterAutospacing="0"/>
        <w:ind w:firstLine="420"/>
        <w:jc w:val="both"/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二、主动公开政府信息情况</w:t>
      </w:r>
    </w:p>
    <w:tbl>
      <w:tblPr>
        <w:tblStyle w:val="2"/>
        <w:tblW w:w="97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4F72E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0272F9D8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第二十条第（一）项</w:t>
            </w:r>
          </w:p>
        </w:tc>
      </w:tr>
      <w:tr w14:paraId="6B91AC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1C6B8E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350D0E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D7BF1F0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C66DDB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现行有效件数</w:t>
            </w:r>
          </w:p>
        </w:tc>
      </w:tr>
      <w:tr w14:paraId="0BA6E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C8C7FDA">
            <w:pPr>
              <w:widowControl/>
              <w:shd w:val="clear"/>
              <w:jc w:val="left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D5E62F0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3BFC52AE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258A357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27621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903CE54">
            <w:pPr>
              <w:widowControl/>
              <w:shd w:val="clear"/>
              <w:jc w:val="left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287DFC">
            <w:pPr>
              <w:widowControl/>
              <w:shd w:val="clear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438963E">
            <w:pPr>
              <w:widowControl/>
              <w:shd w:val="clear"/>
              <w:jc w:val="center"/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863BE16">
            <w:pPr>
              <w:widowControl/>
              <w:shd w:val="clear"/>
              <w:jc w:val="center"/>
              <w:rPr>
                <w:rFonts w:hint="default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3772A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3F89FE2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第二十条第（五）项</w:t>
            </w:r>
          </w:p>
        </w:tc>
      </w:tr>
      <w:tr w14:paraId="3AE4F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50B9B48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FE62C11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5A7C0E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9F41963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6888E8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1409E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4819881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第二十条第（六）项</w:t>
            </w:r>
          </w:p>
        </w:tc>
      </w:tr>
      <w:tr w14:paraId="16E26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452618C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09F52171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本年处理决定数量</w:t>
            </w:r>
          </w:p>
        </w:tc>
      </w:tr>
      <w:tr w14:paraId="373E29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4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2D93ACD3">
            <w:pPr>
              <w:widowControl/>
              <w:shd w:val="clear"/>
              <w:jc w:val="left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58B6D485">
            <w:pPr>
              <w:widowControl/>
              <w:shd w:val="clear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B37F0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40EDD217">
            <w:pPr>
              <w:widowControl/>
              <w:shd w:val="clear"/>
              <w:jc w:val="left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754CE764">
            <w:pPr>
              <w:widowControl/>
              <w:shd w:val="clear"/>
              <w:jc w:val="center"/>
              <w:rPr>
                <w:rFonts w:ascii="Times New Roman" w:hAnsi="Times New Roman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43B26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3F677B1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第二十条第（八）项</w:t>
            </w:r>
          </w:p>
        </w:tc>
      </w:tr>
      <w:tr w14:paraId="0A462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183054E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7BEA3ED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本年收费金额（单位：万元）</w:t>
            </w:r>
          </w:p>
        </w:tc>
      </w:tr>
      <w:tr w14:paraId="21975F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57" w:type="dxa"/>
              <w:right w:w="57" w:type="dxa"/>
            </w:tcMar>
            <w:vAlign w:val="center"/>
          </w:tcPr>
          <w:p w14:paraId="6835D8B8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tcMar>
              <w:left w:w="57" w:type="dxa"/>
              <w:right w:w="57" w:type="dxa"/>
            </w:tcMar>
            <w:vAlign w:val="center"/>
          </w:tcPr>
          <w:p w14:paraId="6C14E32D">
            <w:pPr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5C17494C">
      <w:pPr>
        <w:widowControl/>
        <w:shd w:val="clear"/>
        <w:jc w:val="lef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 w14:paraId="43D974D3">
      <w:pPr>
        <w:widowControl/>
        <w:shd w:val="clear"/>
        <w:spacing w:before="0" w:beforeAutospacing="0" w:after="0" w:afterAutospacing="0"/>
        <w:ind w:firstLine="420"/>
        <w:jc w:val="both"/>
        <w:rPr>
          <w:rFonts w:ascii="Times New Roman" w:hAnsi="Times New Roman" w:eastAsia="宋体" w:cs="宋体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三、收到和处理政府信息公开申请情况</w:t>
      </w:r>
    </w:p>
    <w:tbl>
      <w:tblPr>
        <w:tblStyle w:val="2"/>
        <w:tblW w:w="97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7"/>
        <w:gridCol w:w="943"/>
        <w:gridCol w:w="3219"/>
        <w:gridCol w:w="688"/>
        <w:gridCol w:w="688"/>
        <w:gridCol w:w="688"/>
        <w:gridCol w:w="688"/>
        <w:gridCol w:w="688"/>
        <w:gridCol w:w="688"/>
        <w:gridCol w:w="688"/>
      </w:tblGrid>
      <w:tr w14:paraId="217CF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restart"/>
            <w:tcMar>
              <w:left w:w="108" w:type="dxa"/>
              <w:right w:w="108" w:type="dxa"/>
            </w:tcMar>
            <w:vAlign w:val="center"/>
          </w:tcPr>
          <w:p w14:paraId="3358B54D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eastAsia="楷体" w:cs="楷体"/>
                <w:color w:val="000000"/>
                <w:kern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16" w:type="dxa"/>
            <w:gridSpan w:val="7"/>
            <w:tcMar>
              <w:left w:w="57" w:type="dxa"/>
              <w:right w:w="57" w:type="dxa"/>
            </w:tcMar>
            <w:vAlign w:val="center"/>
          </w:tcPr>
          <w:p w14:paraId="0204A9C8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申请人情况</w:t>
            </w:r>
          </w:p>
        </w:tc>
      </w:tr>
      <w:tr w14:paraId="3C5F6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0812A273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51B4A5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40" w:type="dxa"/>
            <w:gridSpan w:val="5"/>
            <w:tcMar>
              <w:left w:w="108" w:type="dxa"/>
              <w:right w:w="108" w:type="dxa"/>
            </w:tcMar>
            <w:vAlign w:val="center"/>
          </w:tcPr>
          <w:p w14:paraId="3FDA113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8" w:type="dxa"/>
            <w:vMerge w:val="restart"/>
            <w:tcMar>
              <w:left w:w="108" w:type="dxa"/>
              <w:right w:w="108" w:type="dxa"/>
            </w:tcMar>
            <w:vAlign w:val="center"/>
          </w:tcPr>
          <w:p w14:paraId="62C1BA5D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EB60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vMerge w:val="continue"/>
            <w:tcMar>
              <w:left w:w="108" w:type="dxa"/>
              <w:right w:w="108" w:type="dxa"/>
            </w:tcMar>
            <w:vAlign w:val="center"/>
          </w:tcPr>
          <w:p w14:paraId="2F01995F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C1C3D90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88" w:type="dxa"/>
            <w:tcMar>
              <w:left w:w="108" w:type="dxa"/>
              <w:right w:w="108" w:type="dxa"/>
            </w:tcMar>
            <w:vAlign w:val="center"/>
          </w:tcPr>
          <w:p w14:paraId="6243472D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商业</w:t>
            </w:r>
          </w:p>
          <w:p w14:paraId="04DC7BE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企业</w:t>
            </w:r>
          </w:p>
        </w:tc>
        <w:tc>
          <w:tcPr>
            <w:tcW w:w="688" w:type="dxa"/>
            <w:tcMar>
              <w:left w:w="108" w:type="dxa"/>
              <w:right w:w="108" w:type="dxa"/>
            </w:tcMar>
            <w:vAlign w:val="center"/>
          </w:tcPr>
          <w:p w14:paraId="13817069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科研</w:t>
            </w:r>
          </w:p>
          <w:p w14:paraId="5BAE964D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机构</w:t>
            </w:r>
          </w:p>
        </w:tc>
        <w:tc>
          <w:tcPr>
            <w:tcW w:w="688" w:type="dxa"/>
            <w:tcMar>
              <w:left w:w="108" w:type="dxa"/>
              <w:right w:w="108" w:type="dxa"/>
            </w:tcMar>
            <w:vAlign w:val="center"/>
          </w:tcPr>
          <w:p w14:paraId="6D2A05D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688" w:type="dxa"/>
            <w:tcMar>
              <w:left w:w="108" w:type="dxa"/>
              <w:right w:w="108" w:type="dxa"/>
            </w:tcMar>
            <w:vAlign w:val="center"/>
          </w:tcPr>
          <w:p w14:paraId="01FB61D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688" w:type="dxa"/>
            <w:tcMar>
              <w:left w:w="108" w:type="dxa"/>
              <w:right w:w="108" w:type="dxa"/>
            </w:tcMar>
            <w:vAlign w:val="center"/>
          </w:tcPr>
          <w:p w14:paraId="11EBA41C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其他</w:t>
            </w:r>
          </w:p>
        </w:tc>
        <w:tc>
          <w:tcPr>
            <w:tcW w:w="688" w:type="dxa"/>
            <w:vMerge w:val="continue"/>
            <w:tcMar>
              <w:left w:w="108" w:type="dxa"/>
              <w:right w:w="108" w:type="dxa"/>
            </w:tcMar>
            <w:vAlign w:val="center"/>
          </w:tcPr>
          <w:p w14:paraId="7E157FD3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</w:tr>
      <w:tr w14:paraId="5720F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Mar>
              <w:left w:w="57" w:type="dxa"/>
              <w:right w:w="57" w:type="dxa"/>
            </w:tcMar>
            <w:vAlign w:val="center"/>
          </w:tcPr>
          <w:p w14:paraId="153F7465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02C6299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12766B2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37647505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59FC85F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308DF76B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2C936E6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</w:tcPr>
          <w:p w14:paraId="119E4BA9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  <w:tr w14:paraId="731CD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Mar>
              <w:left w:w="57" w:type="dxa"/>
              <w:right w:w="57" w:type="dxa"/>
            </w:tcMar>
            <w:vAlign w:val="center"/>
          </w:tcPr>
          <w:p w14:paraId="1EC29062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7758CF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A30ABB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2EA28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C4E611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E80F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935AD0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5C594155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  <w:tr w14:paraId="47071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6C0B32D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三、本年度办理结果</w:t>
            </w: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6376D6E6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（一）予以公开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51C276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5F1536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C56B0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554A54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6A160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E98310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1BBCA23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  <w:tr w14:paraId="796E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6F5D647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54547C5E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（二）部分公开</w:t>
            </w:r>
            <w:r>
              <w:rPr>
                <w:rFonts w:hint="eastAsia" w:ascii="Times New Roman" w:hAnsi="Times New Roman" w:eastAsia="楷体" w:cs="楷体"/>
                <w:color w:val="000000"/>
                <w:kern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911A9F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A5068B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04353B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61AD11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56C75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F420D7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2307FA8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  <w:tr w14:paraId="6564E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3C39C67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2EE7FA9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（三）不予公开</w:t>
            </w: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4AB9AE68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1.属于国家秘密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45A99C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C9CBD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71AC28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D1A2B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309F9C9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306E9C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0276EA4C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  <w:tr w14:paraId="6E1C5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76F6119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2CF2533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0EC331F4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315C06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8F77C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CCA478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9C9826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FA5A3B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38AE2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top"/>
          </w:tcPr>
          <w:p w14:paraId="3C592CE1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eastAsia="zh-CN"/>
              </w:rPr>
              <w:t>0</w:t>
            </w:r>
          </w:p>
        </w:tc>
      </w:tr>
      <w:tr w14:paraId="23D93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85A807E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BF5BF5F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77A028CC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3.危及“三安全一稳定”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80D52D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240BB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6B084D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D937D4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A614201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07FCBB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6A132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187E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3E1FBC4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7D6E069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28FEADBE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4.保护第三方合法权益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D0093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825F6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82B2F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008C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7F911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A3F18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5AD30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6B9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3A539A7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CC67029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4D011025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5.属于三类内部事务信息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6D7499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63666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EF3F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144692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A7A8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43941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E692E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56A4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134A2E8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B636AF1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2CE10750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6.属于四类过程性信息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0EB281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8BC78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2A1B1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C2691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90EF80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730645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D6CDA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3C5B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12895FA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163F4FA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15919204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7.属于行政执法案卷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994EF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7989C4B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5E688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7DCE43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E96B6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9FAB3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768D09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A169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C9EF133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DEF74B1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4AED1C44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8.属于行政查询事项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3DB6F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DE7BB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EDD9F7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5E4269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58F2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28871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2F4DFB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3F5AA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7FF2FB7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F5C0695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（四）无法提供</w:t>
            </w: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11AF7AFE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841FCF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C2C5AC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4BE010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31DF62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1F50D5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14546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F89BD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53FE4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10F5B99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DDD226D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2E5DE412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11B49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68E33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73B67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A86BF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958B35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67932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8E406B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2874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646AEE7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98A9A21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31654E8F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01A2D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CB988F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5E54D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7EE373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B44F0D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42AB2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D11912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9A50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8146B8F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E12DF3C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（五）不予处理</w:t>
            </w: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7E088F26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1.信访举报投诉类申请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C5404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35D371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6907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0309B8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E4BB99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8B4C1C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00C953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1B4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2F72FD98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8C15428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4D6607D8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2.重复申请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65563D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FDD83D5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C208A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AC73E3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387F33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193C3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00419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764D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7B6DB37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30A95FD2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24DE750E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3.要求提供公开出版物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B2170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BB02A8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32125C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B473AD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EE2EE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4413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C195F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AF86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608BA834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048A6CCB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</w:tcPr>
          <w:p w14:paraId="476FC883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DC7274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44BAD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83B18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E4DAE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098C7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DB1EBB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4E796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41B3C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DA38B04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D836E86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  <w:vAlign w:val="center"/>
          </w:tcPr>
          <w:p w14:paraId="2EA77770">
            <w:pPr>
              <w:widowControl/>
              <w:shd w:val="clea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AC326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19F8714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42AE3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2B4374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BB8A7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E7B43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DC820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F114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A6079FC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B8FBC07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（六）其他处理</w:t>
            </w:r>
          </w:p>
        </w:tc>
        <w:tc>
          <w:tcPr>
            <w:tcW w:w="3219" w:type="dxa"/>
            <w:tcMar>
              <w:left w:w="57" w:type="dxa"/>
              <w:right w:w="57" w:type="dxa"/>
            </w:tcMar>
            <w:vAlign w:val="center"/>
          </w:tcPr>
          <w:p w14:paraId="4F549988">
            <w:pPr>
              <w:widowControl/>
              <w:shd w:val="clea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F8E370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68CE5605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32AF9F6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384E050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62AD6273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19B15FA8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234C4C0E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2E5B6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17F6F090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6536ECB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  <w:vAlign w:val="center"/>
          </w:tcPr>
          <w:p w14:paraId="6230985C">
            <w:pPr>
              <w:widowControl/>
              <w:shd w:val="clea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7300E2D9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64B946E9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14167E62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0546FB8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540E2A03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AD6661D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2A65196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620B6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4089A0B2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5F15F650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tcMar>
              <w:left w:w="57" w:type="dxa"/>
              <w:right w:w="57" w:type="dxa"/>
            </w:tcMar>
            <w:vAlign w:val="center"/>
          </w:tcPr>
          <w:p w14:paraId="24FF5173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3.其他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5CAB537A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71A195A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B67724F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109C44D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1BD4DE09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29BE4DEC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350B4FE7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F657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7" w:type="dxa"/>
            <w:vMerge w:val="continue"/>
            <w:tcMar>
              <w:left w:w="57" w:type="dxa"/>
              <w:right w:w="57" w:type="dxa"/>
            </w:tcMar>
            <w:vAlign w:val="center"/>
          </w:tcPr>
          <w:p w14:paraId="74B393A4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4162" w:type="dxa"/>
            <w:gridSpan w:val="2"/>
            <w:tcMar>
              <w:left w:w="57" w:type="dxa"/>
              <w:right w:w="57" w:type="dxa"/>
            </w:tcMar>
            <w:vAlign w:val="center"/>
          </w:tcPr>
          <w:p w14:paraId="6F2231F3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（七）总计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059FA245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5E5FDA41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0F0AEE86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D59C1F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22C3B12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5A4E4CA0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26A1AA8F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05BB5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9" w:type="dxa"/>
            <w:gridSpan w:val="3"/>
            <w:tcMar>
              <w:left w:w="57" w:type="dxa"/>
              <w:right w:w="57" w:type="dxa"/>
            </w:tcMar>
            <w:vAlign w:val="center"/>
          </w:tcPr>
          <w:p w14:paraId="0604D241">
            <w:pPr>
              <w:widowControl/>
              <w:shd w:val="clear"/>
              <w:jc w:val="left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四、结转下年度继续办理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D6E5AC2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1CA2E8B7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42B90653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787D1D21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631696D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18D61EE8">
            <w:pPr>
              <w:widowControl/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Calibri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88" w:type="dxa"/>
            <w:tcMar>
              <w:left w:w="57" w:type="dxa"/>
              <w:right w:w="57" w:type="dxa"/>
            </w:tcMar>
            <w:vAlign w:val="center"/>
          </w:tcPr>
          <w:p w14:paraId="23797827">
            <w:pPr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38F81A49">
      <w:pPr>
        <w:widowControl/>
        <w:shd w:val="clear"/>
        <w:jc w:val="center"/>
        <w:rPr>
          <w:rFonts w:ascii="Times New Roman" w:hAnsi="Times New Roman" w:eastAsia="宋体" w:cs="宋体"/>
          <w:color w:val="000000"/>
          <w:sz w:val="24"/>
          <w:szCs w:val="24"/>
        </w:rPr>
      </w:pPr>
    </w:p>
    <w:p w14:paraId="7C0272BD">
      <w:pPr>
        <w:widowControl/>
        <w:shd w:val="clear"/>
        <w:spacing w:before="0" w:beforeAutospacing="0" w:after="0" w:afterAutospacing="0"/>
        <w:ind w:firstLine="420"/>
        <w:jc w:val="both"/>
        <w:rPr>
          <w:rFonts w:ascii="Times New Roman" w:hAnsi="Times New Roman" w:eastAsia="宋体" w:cs="宋体"/>
          <w:color w:val="000000"/>
          <w:sz w:val="24"/>
          <w:szCs w:val="24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四、政府信息公开行政复议、行政诉讼情况</w:t>
      </w:r>
    </w:p>
    <w:tbl>
      <w:tblPr>
        <w:tblStyle w:val="2"/>
        <w:tblW w:w="974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0"/>
        <w:gridCol w:w="650"/>
        <w:gridCol w:w="650"/>
        <w:gridCol w:w="650"/>
        <w:gridCol w:w="650"/>
      </w:tblGrid>
      <w:tr w14:paraId="74E7B87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A3464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649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28C8CD9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行政诉讼</w:t>
            </w:r>
          </w:p>
        </w:tc>
      </w:tr>
      <w:tr w14:paraId="3AB9B7D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BE8C4F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014338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0BA6AD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E6E2C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33137A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E15C25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325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8A0E7C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复议后起诉</w:t>
            </w:r>
          </w:p>
        </w:tc>
      </w:tr>
      <w:tr w14:paraId="47657DC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AC1F77D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8B4605A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AF2B1B3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227997C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91E1C14">
            <w:pPr>
              <w:shd w:val="clear"/>
              <w:rPr>
                <w:rFonts w:ascii="Times New Roman" w:hAnsi="Times New Roman" w:eastAsia="仿宋_GB2312" w:cs="Times New Roman"/>
                <w:color w:val="000000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850E37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DDDBEEB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85E5F36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6C9E6D2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3BEE4E7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DA7464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3D7B60F0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C5EE39C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其他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29992B5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尚未</w:t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D19316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宋体" w:cs="宋体"/>
                <w:color w:val="000000"/>
                <w:kern w:val="0"/>
                <w:sz w:val="20"/>
                <w:szCs w:val="20"/>
              </w:rPr>
              <w:t>总计</w:t>
            </w:r>
          </w:p>
        </w:tc>
      </w:tr>
      <w:tr w14:paraId="2F7F851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24B663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1189C09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4C14567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6E7BA617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09D79103">
            <w:pPr>
              <w:widowControl/>
              <w:shd w:val="clear"/>
              <w:jc w:val="center"/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CE40C64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89BF3B">
            <w:pPr>
              <w:widowControl/>
              <w:shd w:val="clear"/>
              <w:jc w:val="center"/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4FB362E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142802D1">
            <w:pPr>
              <w:widowControl/>
              <w:shd w:val="clear"/>
              <w:jc w:val="center"/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FDCC83F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37550D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4E74DBAB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595AB713">
            <w:pPr>
              <w:widowControl/>
              <w:shd w:val="clear"/>
              <w:jc w:val="center"/>
              <w:rPr>
                <w:rFonts w:hint="eastAsia" w:ascii="Times New Roman" w:hAnsi="Times New Roman" w:eastAsia="黑体" w:cs="Times New Roman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7D4A7A6A">
            <w:pPr>
              <w:widowControl/>
              <w:shd w:val="clear"/>
              <w:jc w:val="center"/>
              <w:rPr>
                <w:rFonts w:ascii="Times New Roman" w:hAnsi="Times New Roman" w:eastAsia="仿宋_GB2312" w:cs="Times New Roman"/>
                <w:color w:val="000000"/>
                <w:sz w:val="32"/>
                <w:szCs w:val="32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right w:w="108" w:type="dxa"/>
            </w:tcMar>
            <w:vAlign w:val="center"/>
          </w:tcPr>
          <w:p w14:paraId="2BD6DFFD">
            <w:pPr>
              <w:shd w:val="clear"/>
              <w:jc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1F90CC8A">
      <w:pPr>
        <w:widowControl/>
        <w:shd w:val="clear"/>
        <w:spacing w:before="0" w:beforeAutospacing="0" w:after="0" w:afterAutospacing="0"/>
        <w:jc w:val="both"/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78715B09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五、存在的主要问题及改进情况</w:t>
      </w:r>
    </w:p>
    <w:p w14:paraId="24D3AF17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楷体" w:cs="楷体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楷体" w:cs="楷体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（一）2024年存在问题整改情况</w:t>
      </w:r>
    </w:p>
    <w:p w14:paraId="18F59B14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eastAsiaTheme="minorEastAsia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针对2024年度依申请公开工作处理规范性有待提高等问题，我单位极为重视，通过开展业务人员培训，梳理依申请公开的办理流程与关键节点，保证业务人员准确了解每个环节的要求和规范，规范化处理依申请公开工作。</w:t>
      </w:r>
    </w:p>
    <w:p w14:paraId="14AB9F8D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楷体" w:cs="楷体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（二）2025年度主要问题及改进措施</w:t>
      </w:r>
    </w:p>
    <w:p w14:paraId="32C6E195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存在问题：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公开时效性不足，存在更新滞后现象；信息公开的培训工作存在被动、滞后现象。</w:t>
      </w:r>
    </w:p>
    <w:p w14:paraId="78518ECF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改进措施：</w:t>
      </w:r>
      <w:r>
        <w:rPr>
          <w:rFonts w:hint="eastAsia" w:ascii="Times New Roman" w:hAnsi="Times New Roman" w:eastAsia="仿宋_GB2312" w:cs="仿宋_GB2312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一是通过实时监测与定期检查相结合的方式，确保信息更新及时准确，避免出现更新滞后的情况。二是定期组织业务培训，激发工作人员学习积极性，提升整体业务水平，确保信息公开工作的规范性和专业性。</w:t>
      </w:r>
    </w:p>
    <w:p w14:paraId="5F9239F6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黑体" w:cs="黑体"/>
          <w:b w:val="0"/>
          <w:bCs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六、其他需要报告的事项</w:t>
      </w:r>
    </w:p>
    <w:p w14:paraId="41DDF6B8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按照《国务院办公厅关于印发〈政府信息公开信息处理费管理办法〉的通知》（国办函〔2020〕109号）规定的按件、按量收费标准，本年度没有产生信息公开处理费。</w:t>
      </w:r>
      <w:bookmarkStart w:id="0" w:name="_GoBack"/>
      <w:bookmarkEnd w:id="0"/>
    </w:p>
    <w:p w14:paraId="7EE52DB3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00CE810B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48090660">
      <w:pPr>
        <w:keepNext w:val="0"/>
        <w:keepLines w:val="0"/>
        <w:pageBreakBefore w:val="0"/>
        <w:widowControl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  <w:t>2026年1月21日</w:t>
      </w:r>
    </w:p>
    <w:sectPr>
      <w:footerReference r:id="rId3" w:type="default"/>
      <w:footerReference r:id="rId4" w:type="even"/>
      <w:pgSz w:w="11906" w:h="16838"/>
      <w:pgMar w:top="1814" w:right="1474" w:bottom="1264" w:left="1588" w:header="851" w:footer="1021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71793E">
    <w:pPr>
      <w:widowControl w:val="0"/>
      <w:tabs>
        <w:tab w:val="center" w:pos="4153"/>
        <w:tab w:val="right" w:pos="8306"/>
      </w:tabs>
      <w:snapToGrid w:val="0"/>
      <w:jc w:val="righ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instrText xml:space="preserve"> PAGE </w:instrTex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t>9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A5DD8A">
    <w:pPr>
      <w:framePr w:wrap="around" w:vAnchor="text" w:hAnchor="margin" w:xAlign="outside" w:y="1"/>
      <w:widowControl w:val="0"/>
      <w:tabs>
        <w:tab w:val="center" w:pos="4153"/>
        <w:tab w:val="right" w:pos="8306"/>
      </w:tabs>
      <w:snapToGrid w:val="0"/>
      <w:jc w:val="lef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begin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instrText xml:space="preserve">PAGE  </w:instrTex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separate"/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t>8</w:t>
    </w:r>
    <w:r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  <w:fldChar w:fldCharType="end"/>
    </w:r>
    <w:r>
      <w:rPr>
        <w:rFonts w:hint="eastAsia" w:ascii="仿宋_GB2312" w:hAnsi="Times New Roman" w:eastAsia="仿宋_GB2312" w:cs="Times New Roman"/>
        <w:kern w:val="2"/>
        <w:sz w:val="28"/>
        <w:szCs w:val="28"/>
        <w:lang w:val="en-US" w:eastAsia="zh-CN" w:bidi="ar-SA"/>
      </w:rPr>
      <w:t>-</w:t>
    </w:r>
  </w:p>
  <w:p w14:paraId="791EF7BE">
    <w:pPr>
      <w:widowControl w:val="0"/>
      <w:tabs>
        <w:tab w:val="center" w:pos="4153"/>
        <w:tab w:val="right" w:pos="8306"/>
      </w:tabs>
      <w:snapToGrid w:val="0"/>
      <w:ind w:right="360" w:firstLine="360"/>
      <w:jc w:val="left"/>
      <w:rPr>
        <w:rFonts w:ascii="仿宋_GB2312" w:hAnsi="Times New Roman" w:eastAsia="仿宋_GB2312" w:cs="Times New Roman"/>
        <w:kern w:val="2"/>
        <w:sz w:val="28"/>
        <w:szCs w:val="28"/>
        <w:lang w:val="en-US" w:eastAsia="zh-CN"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E1443"/>
    <w:rsid w:val="010A6FE7"/>
    <w:rsid w:val="01215C6D"/>
    <w:rsid w:val="01822573"/>
    <w:rsid w:val="054B7049"/>
    <w:rsid w:val="096D1193"/>
    <w:rsid w:val="0E537A3C"/>
    <w:rsid w:val="0FA34799"/>
    <w:rsid w:val="11C150F4"/>
    <w:rsid w:val="133B4C77"/>
    <w:rsid w:val="15D8012E"/>
    <w:rsid w:val="168D7598"/>
    <w:rsid w:val="175B58E8"/>
    <w:rsid w:val="17756819"/>
    <w:rsid w:val="1B5E7755"/>
    <w:rsid w:val="22761828"/>
    <w:rsid w:val="240A0880"/>
    <w:rsid w:val="25423C43"/>
    <w:rsid w:val="29210078"/>
    <w:rsid w:val="2AE57825"/>
    <w:rsid w:val="2CF73565"/>
    <w:rsid w:val="2F436F36"/>
    <w:rsid w:val="2FFD0E93"/>
    <w:rsid w:val="32861A63"/>
    <w:rsid w:val="36FC55AB"/>
    <w:rsid w:val="379453FA"/>
    <w:rsid w:val="3A5244D1"/>
    <w:rsid w:val="3B5D137F"/>
    <w:rsid w:val="3FEE25A6"/>
    <w:rsid w:val="44D07D4A"/>
    <w:rsid w:val="45DC11FE"/>
    <w:rsid w:val="49675177"/>
    <w:rsid w:val="4A0A7BC0"/>
    <w:rsid w:val="52BC29D7"/>
    <w:rsid w:val="52CF11B2"/>
    <w:rsid w:val="52EA3518"/>
    <w:rsid w:val="53795014"/>
    <w:rsid w:val="57FD5808"/>
    <w:rsid w:val="5A862E7C"/>
    <w:rsid w:val="5ACC1D6C"/>
    <w:rsid w:val="5B656B0B"/>
    <w:rsid w:val="5BF663A0"/>
    <w:rsid w:val="5DC4787B"/>
    <w:rsid w:val="5E287173"/>
    <w:rsid w:val="5FEA294A"/>
    <w:rsid w:val="600A52A0"/>
    <w:rsid w:val="61744FEB"/>
    <w:rsid w:val="618E3791"/>
    <w:rsid w:val="621C2B4B"/>
    <w:rsid w:val="634A1969"/>
    <w:rsid w:val="655F347A"/>
    <w:rsid w:val="666441B5"/>
    <w:rsid w:val="66F45E44"/>
    <w:rsid w:val="67713C0F"/>
    <w:rsid w:val="6AFC6742"/>
    <w:rsid w:val="6CEA1A52"/>
    <w:rsid w:val="70455963"/>
    <w:rsid w:val="704561B0"/>
    <w:rsid w:val="70E4517B"/>
    <w:rsid w:val="723B0DCB"/>
    <w:rsid w:val="732D475C"/>
    <w:rsid w:val="772E2F4E"/>
    <w:rsid w:val="7FC44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11d6a0ce-a031-426e-a18e-7350b9e314d0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4F549988</paraID>
      <start>22</start>
      <end>24</end>
      <status>ignored</status>
      <modifiedWord/>
      <trackRevisions>false</trackRevisions>
    </reviewItem>
    <reviewItem>
      <errorID>10bf863e-2b73-453a-ba13-ecde7f3bd80a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6230985C</paraID>
      <start>26</start>
      <end>28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f9fe9f4-983b-43f2-8bd1-6c9b885428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2464</Words>
  <Characters>2542</Characters>
  <Lines>0</Lines>
  <Paragraphs>0</Paragraphs>
  <TotalTime>32</TotalTime>
  <ScaleCrop>false</ScaleCrop>
  <LinksUpToDate>false</LinksUpToDate>
  <CharactersWithSpaces>2542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水瓶胆</cp:lastModifiedBy>
  <dcterms:modified xsi:type="dcterms:W3CDTF">2026-01-22T01:13:51Z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8C5544D9567549D99645E0AC0C9172ED_13</vt:lpwstr>
  </property>
  <property fmtid="{D5CDD505-2E9C-101B-9397-08002B2CF9AE}" pid="4" name="KSOTemplateDocerSaveRecord">
    <vt:lpwstr>eyJoZGlkIjoiNDcwOTBkMzM2MzRkNTU5MjVmMzQ3YzRkMmEwNDlhOWQiLCJ1c2VySWQiOiIzODE4MDMzNDIifQ==</vt:lpwstr>
  </property>
</Properties>
</file>