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8759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舒城县阙店乡人民政府202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年政府信息公开工作年度报告</w:t>
      </w:r>
    </w:p>
    <w:p w14:paraId="1B122E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</w:p>
    <w:p w14:paraId="2D2FB7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本报告依据《中华人民共和国政府信息公开条例》，结合舒城县阙店乡2025年度政府信息公开工作编制而成,报告主要包括：总体情况、主动公开政府信息情况、收到和处理政府信息公开申请情况、政府信息公开行政复议和行政诉讼情况、政府信息公开工作存在主要问题及改进情况和其他需要报告事项。本年度报告中使用数据统计期限为2025年1月1日至2025年12月31日。如对本报告有任何疑问，请与六安市舒城县阙店乡政府联系（地址：阙店乡阙店街道；邮编：231363；联系电话：0564-8587966）。</w:t>
      </w:r>
    </w:p>
    <w:p w14:paraId="0D3488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国标黑体" w:hAnsi="国标黑体" w:eastAsia="国标黑体" w:cs="国标黑体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国标黑体" w:hAnsi="国标黑体" w:eastAsia="国标黑体" w:cs="国标黑体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一、总体情况</w:t>
      </w:r>
    </w:p>
    <w:p w14:paraId="4751BD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（一）主动公开情况</w:t>
      </w:r>
    </w:p>
    <w:p w14:paraId="5B8959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2025年，我乡通过政务公开平台累计发布信息843条，其中两化领域412条。常态化公开就业、住房、教育、医疗、养老、社会保障、旅游、乡村振兴、惠民惠农资金发放等领域信息，做到“应公开、尽公开”。通过活动搭建政府与公众的沟通平台，联合各站所开展“政务公开主题日”活动，让群众更加直观地了解政府部门的职能、政策以及工作流程，提高政府工作的透明度，确保政务公开工作紧贴群众需求、服务百姓生活。</w:t>
      </w:r>
    </w:p>
    <w:p w14:paraId="2B04C8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（二）依申请公开</w:t>
      </w:r>
    </w:p>
    <w:p w14:paraId="6F7B97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我乡依据相关法律法规，加强依申请办理工作全链条管理，畅通线上线下申请渠道，完善申请受理、审核、答复、送达、归档全流程管理制度。2025年，我乡共收到2件线上依申请公开政府信息的申请，已办结完成。</w:t>
      </w:r>
    </w:p>
    <w:p w14:paraId="2AE75D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（三）政府信息管理</w:t>
      </w:r>
    </w:p>
    <w:p w14:paraId="76CE4B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我乡健全完善政府信息发布、解读、回应、管理全流程，严格执行公文公开属性前置审查和分级审核制度。加强行政规范性文件管理，规范公开文件要素，完善政策文件历史沿革记录。建立已公开信息安全巡查机制，每季度集中清理过期失效信息，确保公开信息准确性与时效性。</w:t>
      </w:r>
    </w:p>
    <w:p w14:paraId="72A8C4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（四）政府信息公开平台建设情况</w:t>
      </w:r>
    </w:p>
    <w:p w14:paraId="21C038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强化政府网站政务公开主阵地作用，优化栏目设置，落实专人负责栏目维护更新。务实推进政务公开专区建设，依托乡政务服务大厅设立政策咨询窗口，开展现场解读和综合咨询服务。同时深化政务新媒体“瘦身提质”，梳理整合现有新媒体账号，精简冗余推送，提升内容质量，让信息传播更精准、更高效。</w:t>
      </w:r>
    </w:p>
    <w:p w14:paraId="03C1FA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（五）监督保障</w:t>
      </w:r>
    </w:p>
    <w:p w14:paraId="2D6C753A">
      <w:pPr>
        <w:keepNext w:val="0"/>
        <w:keepLines w:val="0"/>
        <w:widowControl/>
        <w:suppressLineNumbers w:val="0"/>
        <w:ind w:firstLine="640" w:firstLineChars="200"/>
        <w:jc w:val="both"/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bookmarkStart w:id="0" w:name="_GoBack"/>
      <w:bookmarkEnd w:id="0"/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2025年，我乡持续深化政务公开监督保障体系建设，聚焦完善监督机制、强化队伍建设、拓宽监督渠道三大关键环节精准施策，推动监督保障工作提质增效。完善监督机制，制定细化考核细则并纳入全乡重点工作考核，明确各层级责任清单，实现责任到人、任务到岗；不定期开展政务公开内部督查，建立问题台账、整改清单，确保发现问题即知即改。同时，主动拓宽公众监督渠道，通过线上与线下结合的形式广泛接受社会评议，同步激活政务公开专区监督功能，引导群众积极参与监督，有效提升了政府工作透明度和规范性，更为基层治理提质增效和服务群众精准化提供了坚实保障。2025年度我乡社会评议良好，未产生责任追究相关问题和结果。</w:t>
      </w:r>
    </w:p>
    <w:p w14:paraId="09CDF2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</w:p>
    <w:p w14:paraId="20530B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国标黑体" w:hAnsi="国标黑体" w:eastAsia="国标黑体" w:cs="国标黑体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国标黑体" w:hAnsi="国标黑体" w:eastAsia="国标黑体" w:cs="国标黑体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二、主动公开政府信息情况</w:t>
      </w:r>
    </w:p>
    <w:p w14:paraId="434112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</w:p>
    <w:tbl>
      <w:tblPr>
        <w:tblStyle w:val="4"/>
        <w:tblW w:w="974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 w14:paraId="2914EA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5A066987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 w14:paraId="3AF2A3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833F4F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2E5E00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8989D3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47CF55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现行有效件数</w:t>
            </w:r>
          </w:p>
        </w:tc>
      </w:tr>
      <w:tr w14:paraId="515597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90580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2E07D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8BBF0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49C4F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3DF716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C5D4E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BE0A0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BA235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CC953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185F7F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690180B5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 w14:paraId="5F1FC2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1B5855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C0C1CD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 w14:paraId="57E18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99D05A"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7A73CF">
            <w:pPr>
              <w:widowControl/>
              <w:jc w:val="center"/>
              <w:rPr>
                <w:rFonts w:hint="default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 w:cs="Calibri"/>
                <w:color w:val="000000"/>
                <w:kern w:val="0"/>
                <w:sz w:val="21"/>
                <w:szCs w:val="21"/>
                <w:lang w:val="en-US" w:eastAsia="zh-CN"/>
              </w:rPr>
              <w:t>84</w:t>
            </w:r>
          </w:p>
        </w:tc>
      </w:tr>
      <w:tr w14:paraId="3D3116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25274142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 w14:paraId="640FEB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347046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8A9B9B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 w14:paraId="64ED4A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53CB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9E663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6FFB6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9F7E8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E3AE4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70AB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5A88D492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 w14:paraId="3EA272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BC2B7D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D8874E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本年收费金额（单位：万元）</w:t>
            </w:r>
          </w:p>
        </w:tc>
      </w:tr>
      <w:tr w14:paraId="16045F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2FBAD4"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F96534">
            <w:pPr>
              <w:jc w:val="center"/>
              <w:rPr>
                <w:rFonts w:hint="eastAsia" w:ascii="宋体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620E0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</w:p>
    <w:p w14:paraId="7D9A4A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国标黑体" w:hAnsi="国标黑体" w:eastAsia="国标黑体" w:cs="国标黑体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国标黑体" w:hAnsi="国标黑体" w:eastAsia="国标黑体" w:cs="国标黑体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三、收到和处理政府信息公开申请情况</w:t>
      </w:r>
    </w:p>
    <w:p w14:paraId="75DA8E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</w:p>
    <w:tbl>
      <w:tblPr>
        <w:tblStyle w:val="4"/>
        <w:tblW w:w="9745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7"/>
        <w:gridCol w:w="943"/>
        <w:gridCol w:w="3219"/>
        <w:gridCol w:w="688"/>
        <w:gridCol w:w="688"/>
        <w:gridCol w:w="688"/>
        <w:gridCol w:w="688"/>
        <w:gridCol w:w="688"/>
        <w:gridCol w:w="688"/>
        <w:gridCol w:w="688"/>
      </w:tblGrid>
      <w:tr w14:paraId="56F551A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413DE54"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816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CEC430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申请人情况</w:t>
            </w:r>
          </w:p>
        </w:tc>
      </w:tr>
      <w:tr w14:paraId="64C4503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C309090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68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0424B1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44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C84A13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88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E6BF824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 w14:paraId="449720C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2CDBF0C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68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C8D288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56D0B2D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商业</w:t>
            </w:r>
          </w:p>
          <w:p w14:paraId="780DC1C5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6B182A3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科研</w:t>
            </w:r>
          </w:p>
          <w:p w14:paraId="30FD7395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0BC29B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305DCE3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60E5A9A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</w:p>
        </w:tc>
        <w:tc>
          <w:tcPr>
            <w:tcW w:w="688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44473B6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1E89CB8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  <w:jc w:val="center"/>
        </w:trPr>
        <w:tc>
          <w:tcPr>
            <w:tcW w:w="492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7B689C"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379C26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D7CBFF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51F66C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EB0C3D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097B63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8C68FC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B27705E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</w:tr>
      <w:tr w14:paraId="6FCCC4E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4603FF"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B7B220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BF62F3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47FDFD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056D36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255A03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32FA7C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1776AD3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11EE67B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27A180"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416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4210B9"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617083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358052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F9E69A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A6D554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7A706E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6D7351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254BB5E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</w:tr>
      <w:tr w14:paraId="505C4CD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5709BA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416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6B8460"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（二）部分公开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</w:rPr>
              <w:t>（区分处理的，只计这一情形，不计其他情形）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02D4DD">
            <w:pPr>
              <w:widowControl/>
              <w:jc w:val="center"/>
              <w:rPr>
                <w:rFonts w:hint="default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AE404C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48CD49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15D349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87DFCC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3CAAD0">
            <w:pPr>
              <w:widowControl/>
              <w:jc w:val="center"/>
              <w:rPr>
                <w:rFonts w:hint="default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69D4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041BB8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66C4AF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192525"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8503AE2"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7D3F3D6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7B3B790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E1002D2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2547FC4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8B65A48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69DB310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C6AE53B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4268706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2C5BA4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C7F5FC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0123E87"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339C054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7928F9A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B9F4E69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7257C13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24484AC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8C4B6D0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E8CF0BD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6612D59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99B9AA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56B445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90DC275"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3.危及“三安全一稳定”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3D34B76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03B0A41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CBB69B5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D2A006C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0B476A3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68B59CF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3DA92CB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14:paraId="1DD1CE8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60EAAF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025998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3426523"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C4BA6F5">
            <w:pPr>
              <w:widowControl/>
              <w:jc w:val="center"/>
              <w:rPr>
                <w:rFonts w:hint="default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E5C85EB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1308FF1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FF92B24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7D97F51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7F438EB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C1C7F7C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14:paraId="4A0CF50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34506A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46C50C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5FCF799"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5.属于三类内部事务信息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0F5D141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E537288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E8E02F3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138B82A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8232B74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37495F1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190979D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642E7AD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34F6AE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ECE468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81BBB3D"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C4D68F5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8A4463E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F81889A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E8E92C4">
            <w:pPr>
              <w:widowControl/>
              <w:jc w:val="center"/>
              <w:rPr>
                <w:rFonts w:hint="default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AF0F36B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1CD123E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5BAD09F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6C7182E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B4E7A8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2C6E09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B79DEE3"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2F5D709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AC8F061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5ED1C55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7D61867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099F16B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8A5F4C9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B48A9DD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3DD7B52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73DD9B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3AEAB0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3ED94CF"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277BE80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DAA25DB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37A0B30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21BD3E6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1ECECC6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F62F6A4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7AB1E76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61635C5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8D16B7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AC634E"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FE84A6B"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9635F07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72002C5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51A6667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D045550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39364B8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88EA70B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B2E9D25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4FEF389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83376A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C7DE63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517B98C"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7216E58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AC1CB06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FBDF798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A193C18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9927CC7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036E492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0918C71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1956EDB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9232A9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881877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7B98EAD"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2429DD9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F891008">
            <w:pPr>
              <w:widowControl/>
              <w:jc w:val="center"/>
              <w:rPr>
                <w:rFonts w:hint="default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DA578E6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67FB468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E8F9273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FD5AE5B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9D0B9DD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292461C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387A51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AB8BD5"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（五）不予处理</w:t>
            </w: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FB26259"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F3FFAB2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E2B3859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969A7A8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08F9321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AD832B9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1C576F3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E024815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14:paraId="2C9B403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868B36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9DAAB2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CFD7408"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0033467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75C3BB4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71429A3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1C8835C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470CAB0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428E33D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2C9E69D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7B7D57F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D312B8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42F10E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431B491"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7548875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04CFD66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E0C0F45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FE57840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E0A698F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878D87F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7618455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12B4962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0676D6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4427AA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364B292"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DC60D69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A2AA281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A1E1A61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1DC0550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0CA94A5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4E6F682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382ABED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2680F3B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378ED7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67EC82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0647EE">
            <w:pPr>
              <w:widowControl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345CF9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952E85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856E1E">
            <w:pPr>
              <w:widowControl/>
              <w:jc w:val="center"/>
              <w:rPr>
                <w:rFonts w:hint="default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FDADCB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A37B94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362AF3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C36AA3">
            <w:pPr>
              <w:widowControl/>
              <w:jc w:val="center"/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744C366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8C10E4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C1F4B3"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6680E0">
            <w:pPr>
              <w:widowControl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1.申请人无正当理由逾期不补正、行政机关不再处理其政府信息公开申请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E32E84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C51E95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03E06D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70D52F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21221C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F3BA25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DB9B3D">
            <w:pPr>
              <w:widowControl/>
              <w:jc w:val="center"/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</w:tr>
      <w:tr w14:paraId="1752AA6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6E9B71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D8E7EC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89E142">
            <w:pPr>
              <w:widowControl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2.申请人逾期未按收费通知要求缴纳费用、行政机关不再处理其政府信息公开申请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66C4E1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BD1471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5A3735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BEF3B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9EC748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C2F224">
            <w:pPr>
              <w:widowControl/>
              <w:jc w:val="center"/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2A0102">
            <w:pPr>
              <w:widowControl/>
              <w:jc w:val="center"/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533736B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7AC4F0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DC8D89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3BC2F2"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3.其他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9DA4E7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218490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6E21AE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62ACF7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EA0CAE">
            <w:pPr>
              <w:widowControl/>
              <w:jc w:val="center"/>
              <w:rPr>
                <w:rFonts w:hint="default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F8A18D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C0FADCE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7985CC9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C751E7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416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F96DBD"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020048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CE964C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1ABAE4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3E7847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652485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4E7ED6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E0AF038">
            <w:pPr>
              <w:widowControl/>
              <w:jc w:val="center"/>
              <w:rPr>
                <w:rFonts w:hint="default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</w:tr>
      <w:tr w14:paraId="129513C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EC1D38"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A79F4E">
            <w:pPr>
              <w:widowControl/>
              <w:jc w:val="center"/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8FDFE2">
            <w:pPr>
              <w:widowControl/>
              <w:jc w:val="center"/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96AE2C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C2CB0A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CEE83F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3283A0">
            <w:pPr>
              <w:widowControl/>
              <w:jc w:val="center"/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192CA8B">
            <w:pPr>
              <w:widowControl/>
              <w:jc w:val="center"/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</w:tbl>
    <w:p w14:paraId="63BD10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ascii="宋体" w:hAnsi="宋体" w:eastAsia="宋体" w:cs="宋体"/>
          <w:color w:val="000000"/>
          <w:sz w:val="24"/>
          <w:szCs w:val="24"/>
        </w:rPr>
      </w:pPr>
    </w:p>
    <w:p w14:paraId="1793D31E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国标黑体" w:hAnsi="国标黑体" w:eastAsia="国标黑体" w:cs="国标黑体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国标黑体" w:hAnsi="国标黑体" w:eastAsia="国标黑体" w:cs="国标黑体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四、政府信息公开行政复议、行政诉讼情况</w:t>
      </w:r>
    </w:p>
    <w:p w14:paraId="1DC02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ascii="宋体" w:hAnsi="宋体" w:eastAsia="宋体" w:cs="宋体"/>
          <w:color w:val="000000"/>
          <w:sz w:val="24"/>
          <w:szCs w:val="24"/>
        </w:rPr>
      </w:pPr>
    </w:p>
    <w:tbl>
      <w:tblPr>
        <w:tblStyle w:val="4"/>
        <w:tblW w:w="9743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0"/>
        <w:gridCol w:w="650"/>
        <w:gridCol w:w="650"/>
        <w:gridCol w:w="650"/>
        <w:gridCol w:w="650"/>
      </w:tblGrid>
      <w:tr w14:paraId="74F428E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4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151DDD9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6498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3A685CC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行政诉讼</w:t>
            </w:r>
          </w:p>
        </w:tc>
      </w:tr>
      <w:tr w14:paraId="0BE3429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4AE7443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0F8BDCA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66B7C06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B0F15A6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8564588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7A1A9FE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25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B30D72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复议后起诉</w:t>
            </w:r>
          </w:p>
        </w:tc>
      </w:tr>
      <w:tr w14:paraId="2F40103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rPr>
          <w:jc w:val="center"/>
        </w:trPr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6D8B5D9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B6ABF27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FB8C9FD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9BAC8D3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CED7003"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C102356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维持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F294D3F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6DB3165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B312507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8F19D0A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21B242E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维持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F97F6FE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1D83081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2C17F28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76FD018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 w14:paraId="2EB1932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38B7BF">
            <w:pPr>
              <w:widowControl/>
              <w:jc w:val="center"/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D869471">
            <w:pPr>
              <w:widowControl/>
              <w:jc w:val="center"/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AEC2251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FC4CE00">
            <w:pPr>
              <w:widowControl/>
              <w:jc w:val="center"/>
              <w:rPr>
                <w:rFonts w:hint="default" w:ascii="黑体" w:hAnsi="宋体" w:eastAsia="黑体" w:cs="黑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6290149">
            <w:pPr>
              <w:widowControl/>
              <w:jc w:val="center"/>
              <w:rPr>
                <w:rFonts w:hint="default" w:ascii="黑体" w:hAnsi="宋体" w:eastAsia="黑体" w:cs="黑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2BD45C8">
            <w:pPr>
              <w:widowControl/>
              <w:jc w:val="center"/>
              <w:rPr>
                <w:rFonts w:hint="default" w:ascii="黑体" w:hAnsi="宋体" w:eastAsia="黑体" w:cs="黑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BA63142">
            <w:pPr>
              <w:widowControl/>
              <w:jc w:val="center"/>
              <w:rPr>
                <w:rFonts w:hint="default" w:ascii="黑体" w:hAnsi="宋体" w:eastAsia="黑体" w:cs="黑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711F4E">
            <w:pPr>
              <w:widowControl/>
              <w:jc w:val="center"/>
              <w:rPr>
                <w:rFonts w:hint="default" w:ascii="黑体" w:hAnsi="宋体" w:eastAsia="黑体" w:cs="黑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B9C13C2">
            <w:pPr>
              <w:widowControl/>
              <w:jc w:val="center"/>
              <w:rPr>
                <w:rFonts w:hint="default" w:ascii="黑体" w:hAnsi="宋体" w:eastAsia="黑体" w:cs="黑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A9D5A21">
            <w:pPr>
              <w:widowControl/>
              <w:jc w:val="center"/>
              <w:rPr>
                <w:rFonts w:hint="default" w:ascii="黑体" w:hAnsi="宋体" w:eastAsia="黑体" w:cs="黑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1117F2E">
            <w:pPr>
              <w:widowControl/>
              <w:jc w:val="center"/>
              <w:rPr>
                <w:rFonts w:hint="default" w:ascii="黑体" w:hAnsi="宋体" w:eastAsia="黑体" w:cs="黑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24DE2BC">
            <w:pPr>
              <w:widowControl/>
              <w:jc w:val="center"/>
              <w:rPr>
                <w:rFonts w:hint="default" w:ascii="黑体" w:hAnsi="宋体" w:eastAsia="黑体" w:cs="黑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B4B0C30">
            <w:pPr>
              <w:widowControl/>
              <w:jc w:val="center"/>
              <w:rPr>
                <w:rFonts w:hint="default" w:ascii="黑体" w:hAnsi="宋体" w:eastAsia="黑体" w:cs="黑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8F931CC">
            <w:pPr>
              <w:widowControl/>
              <w:jc w:val="center"/>
              <w:rPr>
                <w:rFonts w:hint="default" w:ascii="黑体" w:hAnsi="宋体" w:eastAsia="黑体" w:cs="黑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9874E17">
            <w:pPr>
              <w:widowControl/>
              <w:jc w:val="center"/>
              <w:rPr>
                <w:rFonts w:hint="default" w:ascii="黑体" w:hAnsi="宋体" w:eastAsia="黑体" w:cs="黑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</w:tbl>
    <w:p w14:paraId="45F3F311">
      <w:pPr>
        <w:widowControl/>
        <w:numPr>
          <w:ilvl w:val="0"/>
          <w:numId w:val="0"/>
        </w:numPr>
        <w:shd w:val="clear" w:color="auto" w:fill="FFFFFF"/>
        <w:spacing w:before="0" w:beforeAutospacing="0" w:after="0" w:afterAutospacing="0"/>
        <w:jc w:val="both"/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</w:p>
    <w:p w14:paraId="099600C4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国标黑体" w:hAnsi="国标黑体" w:eastAsia="国标黑体" w:cs="国标黑体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国标黑体" w:hAnsi="国标黑体" w:eastAsia="国标黑体" w:cs="国标黑体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五、存在的主要问题及改进情况</w:t>
      </w:r>
    </w:p>
    <w:p w14:paraId="0D8867FD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（一）上年度存在问题整改情况</w:t>
      </w:r>
    </w:p>
    <w:p w14:paraId="7A32BADD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针对202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4</w:t>
      </w:r>
      <w:r>
        <w:rPr>
          <w:rFonts w:hint="default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年政务公开专区作用发挥不充分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、</w:t>
      </w:r>
      <w:r>
        <w:rPr>
          <w:rFonts w:hint="default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专区查阅功能群众使用率低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的问题。优化专区硬件配置与功能布局，设置清晰标识，安排专人提供指导，帮助群众熟练使用查阅设备；定期更新专区公开资料，聚焦高频咨询事项整理政策汇编供群众取阅，主动向群众宣传，提升专区知晓度与使用率，激活政务公开专区功能。</w:t>
      </w:r>
    </w:p>
    <w:p w14:paraId="6A7933D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48"/>
          <w:szCs w:val="48"/>
        </w:rPr>
      </w:pPr>
      <w:r>
        <w:rPr>
          <w:rFonts w:ascii="仿宋_GB2312" w:hAnsi="宋体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（二）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202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年存在问题</w:t>
      </w:r>
    </w:p>
    <w:p w14:paraId="35E69BA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政策解读形式不够丰富。解读仍以文字为主，图片、视频等生动直观的形式运用较少，解读效果有待提升。</w:t>
      </w:r>
    </w:p>
    <w:p w14:paraId="0F6135B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（三）改进情况</w:t>
      </w:r>
    </w:p>
    <w:p w14:paraId="6AA966C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default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丰富政策解读形式。借助短视频、文字与图片结合等形式，通过案例解读政策要点，增强解读的可读性和易懂性。让政策通俗易懂，深入人心。</w:t>
      </w:r>
    </w:p>
    <w:p w14:paraId="73AE9EA5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国标黑体" w:hAnsi="国标黑体" w:eastAsia="国标黑体" w:cs="国标黑体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国标黑体" w:hAnsi="国标黑体" w:eastAsia="国标黑体" w:cs="国标黑体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六、其他需要报告的事项</w:t>
      </w:r>
    </w:p>
    <w:p w14:paraId="2DCFB55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按照《国务院办公厅关于印发〈政府信息公开信息处理费管理办法〉的通知》（国办函〔2020〕109号）规定的按件、按量收费标准，本年度没有产生信息公开处理费。</w:t>
      </w:r>
    </w:p>
    <w:p w14:paraId="5223AC9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right="0"/>
        <w:jc w:val="center"/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 xml:space="preserve">                                  </w:t>
      </w:r>
    </w:p>
    <w:p w14:paraId="5584842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right="0"/>
        <w:jc w:val="center"/>
        <w:rPr>
          <w:rFonts w:hint="default" w:ascii="仿宋_GB2312" w:hAnsi="宋体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 xml:space="preserve">                                   2026年1月22日 </w:t>
      </w:r>
    </w:p>
    <w:p w14:paraId="74F3AF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27C8E9A"/>
    <w:rsid w:val="1AFB5C76"/>
    <w:rsid w:val="5D3F832D"/>
    <w:rsid w:val="5FFED2F2"/>
    <w:rsid w:val="75DF7DC7"/>
    <w:rsid w:val="7F71A697"/>
    <w:rsid w:val="7FD1ADBC"/>
    <w:rsid w:val="9FACCE76"/>
    <w:rsid w:val="ABFD4284"/>
    <w:rsid w:val="BF4CB6D1"/>
    <w:rsid w:val="BFB77EE1"/>
    <w:rsid w:val="CFCEF07D"/>
    <w:rsid w:val="F27C8E9A"/>
    <w:rsid w:val="F2AD15A4"/>
    <w:rsid w:val="F3F385D1"/>
    <w:rsid w:val="FBBB8E6E"/>
    <w:rsid w:val="FBE9B666"/>
    <w:rsid w:val="FFFA680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74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2026-01-13T22:40:00Z</dcterms:created>
  <dc:creator>阙店乡收文员</dc:creator>
  <cp:lastModifiedBy>阙店乡收文员</cp:lastModifiedBy>
  <dcterms:modified xsi:type="dcterms:W3CDTF">2026-04-24T09:01:06Z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7AFBEACF7A4112E9FEBFEA69C45E13B8_43</vt:lpwstr>
  </property>
</Properties>
</file>