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A404">
      <w:pPr>
        <w:widowControl/>
        <w:shd w:val="clear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32"/>
          <w14:textFill>
            <w14:noFill/>
          </w14:textFill>
        </w:rPr>
      </w:pPr>
    </w:p>
    <w:p w14:paraId="1055F75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舒城县医疗保障局</w:t>
      </w:r>
    </w:p>
    <w:p w14:paraId="3A072FB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年政府信息公开工作年度报告</w:t>
      </w:r>
    </w:p>
    <w:p w14:paraId="5B64DBE1">
      <w:pPr>
        <w:widowControl/>
        <w:shd w:val="clear"/>
        <w:ind w:firstLine="48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0C572C11">
      <w:pPr>
        <w:widowControl/>
        <w:shd w:val="clear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本报告依据《中华人民共和国政府信息公开条例》（国务院令第711号）和《国务院办公厅政府信息与政务公开办公室关于印发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中华人民共和国政府信息公开工作年度报告格式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的通知》（国办公开办函〔2021〕30号）要求，结合我局202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年度政务公开重点工作开展情况编制而成。本报告中使用数据统计期限为202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年1月1日至202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12月31日。本报告的电子版可以从舒城县医疗保障局信息公开平台查看。如对本报告有任何疑问，请与舒城县医保局综合股联系（地址：舒城县城关镇三里河路人力资源和社会保障局六楼615综合股，电话：0564-8688226，邮编：231300）</w:t>
      </w:r>
    </w:p>
    <w:p w14:paraId="62EA596D">
      <w:pPr>
        <w:widowControl/>
        <w:shd w:val="clear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</w:rPr>
        <w:t>一、总体情况</w:t>
      </w:r>
    </w:p>
    <w:p w14:paraId="0A6EBE14">
      <w:pPr>
        <w:widowControl/>
        <w:shd w:val="clear"/>
        <w:ind w:firstLine="480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  <w:t>（一）主动公开情况</w:t>
      </w:r>
    </w:p>
    <w:p w14:paraId="46E341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县医保局立足医保重点领域与群众关切，持续深化政府信息公开。2025年主动公开政府信息159条，主要工作如下：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一是推进重点领域信息公开。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围绕医保参保缴费、待遇标准、基金监管、社会保险及医疗救助发放等领域，及时公开城乡居民医保筹资标准、财政补助、救助资金发放等信息37条。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二是加强政策宣传与主动回应。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通过主动回应栏目定期发布医保知识、政策解读及科普信息，全年累计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49条。依托县政府门户网站、政务新媒体等平台，及时传达国家、省、市医保最新政策，发布政策解读信息3条。通过新闻发布会、《政风行风在线》等渠道，针对异地就医备案、慢性病报销等热点问题现场解读，全年发放宣传手册、海报等资料20万份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三是规范人事与财政信息公开。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按要求公开部门预决算、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三公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经费使用及项目绩效自评情况。及时维护机关人事基础信息，自觉接受群众监督。</w:t>
      </w:r>
    </w:p>
    <w:p w14:paraId="10A06C02">
      <w:pPr>
        <w:widowControl/>
        <w:shd w:val="clear"/>
        <w:ind w:firstLine="480"/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  <w:t>（二）依申请公开</w:t>
      </w:r>
    </w:p>
    <w:p w14:paraId="1ACC0A7E">
      <w:pPr>
        <w:widowControl/>
        <w:shd w:val="clear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县医保局严格落实依申请公开制度，畅通线上线下申请渠道，规范办理程序，确保答复合法、准确、及时。2025年共受理依申请公开1件，依法按期办结。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本年度未收到行政诉讼、行政复议案件。</w:t>
      </w:r>
    </w:p>
    <w:p w14:paraId="0447C775">
      <w:pPr>
        <w:widowControl/>
        <w:shd w:val="clear"/>
        <w:ind w:firstLine="480"/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  <w:t>（三）政府信息管理</w:t>
      </w:r>
    </w:p>
    <w:p w14:paraId="76772973">
      <w:pPr>
        <w:widowControl/>
        <w:numPr>
          <w:ilvl w:val="0"/>
          <w:numId w:val="0"/>
        </w:numPr>
        <w:shd w:val="clear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县医保局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全面落实信息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审核发布制度和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保密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审查制度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明确岗位职责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对主动公开的信息严格审核，层层把关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确保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政务公开信息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内容准确、规范、安全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。定期组织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对公开的信息进行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排查，及时纠正表述错误、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防范隐私泄露等问题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；持续做好规范性文件维护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与清理工作。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未新制定规范性文件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废止失效文件0件，现行有效文件0件。</w:t>
      </w:r>
    </w:p>
    <w:p w14:paraId="1F4E941F">
      <w:pPr>
        <w:widowControl/>
        <w:shd w:val="clear"/>
        <w:ind w:firstLine="640" w:firstLineChars="200"/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  <w:t>（四）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  <w:t>政府信息公开平台建设情况</w:t>
      </w:r>
    </w:p>
    <w:p w14:paraId="59C62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持续加强门户网站的建设，严格按照县政务公开办的建议对本单位栏目进行维护调整，增设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政策咨询宣讲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栏目，公开市政策咨询综合服务平台链接，并不断加强医保政策宣传。借助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国家医保服务平台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安徽医保公共服务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皖事通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等平台，持续推动医保转移、医保备案和慢性病申报等业务线上办理。依托12345政务便民服务热线渠道收集民声，对群众急难愁盼问题进行分析研判、主动回应。2025年共办理12345政务服务便民热线1254件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均及时回应办结。</w:t>
      </w:r>
    </w:p>
    <w:p w14:paraId="5B011CE2">
      <w:pPr>
        <w:widowControl/>
        <w:shd w:val="clear"/>
        <w:ind w:firstLine="640" w:firstLineChars="200"/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40"/>
          <w:lang w:val="en-US" w:eastAsia="zh-CN"/>
        </w:rPr>
        <w:t>（五）监督保障</w:t>
      </w:r>
    </w:p>
    <w:p w14:paraId="2A753787">
      <w:pPr>
        <w:widowControl/>
        <w:numPr>
          <w:ilvl w:val="0"/>
          <w:numId w:val="0"/>
        </w:numPr>
        <w:shd w:val="clear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强化能力建设。组织召开本单位年度政务公开培训会，安排相关股室负责人及经办人参加培训，深入学习政务公开法规制度，明确工作职责，进一步提升政务公开工作能力。二是狠抓整改落实。针对市、县政务公开办提出的整改事项，立即排查整改，并做好常态化自查自纠工作，定期对主动公开内容开展排查，确保信息准确、规范。</w:t>
      </w:r>
    </w:p>
    <w:p w14:paraId="21D81E88">
      <w:pPr>
        <w:widowControl/>
        <w:shd w:val="clear"/>
        <w:ind w:firstLine="640" w:firstLineChars="200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  <w:t>二、主动公开政府信息情况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C17494C">
      <w:pPr>
        <w:widowControl/>
        <w:shd w:val="clear"/>
        <w:ind w:firstLine="480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40"/>
          <w:lang w:val="en-US" w:eastAsia="zh-CN"/>
        </w:rPr>
      </w:pPr>
    </w:p>
    <w:p w14:paraId="792D6E4F">
      <w:pPr>
        <w:widowControl/>
        <w:shd w:val="clear"/>
        <w:ind w:firstLine="640" w:firstLineChars="200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  <w:t>三、收到和处理政府信息公开申请情况</w:t>
      </w:r>
    </w:p>
    <w:p w14:paraId="43D974D3">
      <w:pPr>
        <w:widowControl/>
        <w:shd w:val="clear"/>
        <w:spacing w:before="0" w:beforeAutospacing="0" w:after="0" w:afterAutospacing="0"/>
        <w:ind w:firstLine="420"/>
        <w:jc w:val="both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2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9E4BA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59415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BCA23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45A99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C9CBD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71AC2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D1A2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09F9C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306E9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76EA4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315C0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F77C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CA478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9C982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FA5A3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38AE2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592CE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80D52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240BB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6B084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D937D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61420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07FCB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6A132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D0093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825F6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82B2F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4008C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7F911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A3F18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AD30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6D749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63666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3EF3F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14469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AA7A8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43941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E692E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0EB28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8BC78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2A1B1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C2691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90EF8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73064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D6CDA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E994E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989C4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5E688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7DCE4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96B6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9FAB3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768D0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3DB6F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DE7BB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DD9F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5E426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658F2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28871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2F4DF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841FC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C2C5A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4BE01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31DF6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1F50D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14546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F89BD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11B49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68E33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73B67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A86BF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958B3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932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8E406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01A2D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CB988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5E54D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7EE37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B44F0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42AB2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D1191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5404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35D37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D6907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0309B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4BB9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8B4C1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0C95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5563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DD83D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C208A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AC73E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87F33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193C3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00419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B2170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BB02A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32125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B473A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EE2EE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A4413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C195F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DC727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A44BA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83B18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E4DAE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098C7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DB1EB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4E796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shd w:val="clea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AC32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F871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42AE3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2B437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8A7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AE7B4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C820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shd w:val="clea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4C4C0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shd w:val="clea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5196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0B4FE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A1AA8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97827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E4C5BA7">
      <w:pPr>
        <w:widowControl/>
        <w:shd w:val="clea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40"/>
          <w:lang w:val="en-US" w:eastAsia="zh-CN"/>
        </w:rPr>
      </w:pPr>
    </w:p>
    <w:p w14:paraId="12328082">
      <w:pPr>
        <w:widowControl/>
        <w:shd w:val="clear"/>
        <w:ind w:firstLine="640" w:firstLineChars="200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  <w:t>四、政府信息公开行政复议、行政诉讼情况</w:t>
      </w:r>
    </w:p>
    <w:p w14:paraId="7C0272BD">
      <w:pPr>
        <w:widowControl/>
        <w:shd w:val="clear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tbl>
      <w:tblPr>
        <w:tblStyle w:val="2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D0953D7">
      <w:pPr>
        <w:widowControl/>
        <w:shd w:val="clea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40"/>
          <w:lang w:val="en-US" w:eastAsia="zh-CN"/>
        </w:rPr>
      </w:pPr>
    </w:p>
    <w:p w14:paraId="78715B09">
      <w:pPr>
        <w:widowControl/>
        <w:shd w:val="clear"/>
        <w:ind w:firstLine="640" w:firstLineChars="200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  <w:t>五、存在的主要问题及改进情况</w:t>
      </w:r>
    </w:p>
    <w:p w14:paraId="00F2706E">
      <w:pPr>
        <w:widowControl/>
        <w:shd w:val="clear"/>
        <w:spacing w:before="0" w:beforeAutospacing="0" w:after="0" w:afterAutospacing="0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存在问题及整改情况</w:t>
      </w:r>
    </w:p>
    <w:p w14:paraId="7C8AE8B8">
      <w:pPr>
        <w:widowControl/>
        <w:shd w:val="clear"/>
        <w:spacing w:before="0" w:beforeAutospacing="0" w:after="0" w:afterAutospacing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存在问题：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规范性文件的制定、审核、公开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程序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存在短板，信息公开敏感词、错别字、格式要求等细节不够严谨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E49DDA3">
      <w:pPr>
        <w:widowControl/>
        <w:shd w:val="clear"/>
        <w:spacing w:before="0" w:beforeAutospacing="0" w:after="0" w:afterAutospacing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整改情况：一是加强政务公开学习培训。组织召开2025年度政务公开培训会，相关股室负责人及经办人员参加会议，深入学习政务公开相关条例制度，进一步明确岗位职责，推动政府信息公开程序规范、内容准确。二是加大信息公开排查力度，坚持季度测评排查整改与常态化自查自纠相结合，定期对已公开信息开展错敏词检查及格式审查，及时纠正存在问题。严格对照县政务公开办的要求，全面梳理本单位各栏目信息，及时清理过期、失效文件，切实提升政府信息公开工作的质量和水平。</w:t>
      </w:r>
    </w:p>
    <w:p w14:paraId="3E2EDF0F">
      <w:pPr>
        <w:widowControl/>
        <w:shd w:val="clear"/>
        <w:spacing w:before="0" w:beforeAutospacing="0" w:after="0" w:afterAutospacing="0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存在问题及下一步打算</w:t>
      </w:r>
    </w:p>
    <w:p w14:paraId="62C39BE1">
      <w:pPr>
        <w:widowControl/>
        <w:shd w:val="clear"/>
        <w:spacing w:before="0" w:beforeAutospacing="0" w:after="0" w:afterAutospacing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县医保局政府信息公开工作虽然取得了一些成绩，但仍存在一些问题：一是部分信息公开时效性有待增强；二是部分栏目内容更新不够全面，医疗服务及药品目录等相关信息公开较少。下一步，县医保局将进一步强化主动公开意识，压实各部门信息公开工作职责，加大对重点领域信息公开的督查力度，切实提升信息发布的准确性、及时性、全面性。</w:t>
      </w:r>
    </w:p>
    <w:p w14:paraId="5F9239F6">
      <w:pPr>
        <w:widowControl/>
        <w:shd w:val="clear"/>
        <w:ind w:firstLine="640" w:firstLineChars="200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40"/>
          <w:lang w:val="en-US" w:eastAsia="zh-CN"/>
        </w:rPr>
        <w:t>六、其他需要报告的事项</w:t>
      </w:r>
    </w:p>
    <w:p w14:paraId="00A37870">
      <w:pPr>
        <w:widowControl/>
        <w:shd w:val="clear"/>
        <w:spacing w:before="0" w:beforeAutospacing="0" w:after="0" w:afterAutospacing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5F6DB8A9">
      <w:pPr>
        <w:widowControl/>
        <w:shd w:val="clear"/>
        <w:spacing w:before="0" w:beforeAutospacing="0" w:after="0" w:afterAutospacing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4CB40ED">
      <w:pPr>
        <w:widowControl/>
        <w:shd w:val="clear"/>
        <w:spacing w:before="0" w:beforeAutospacing="0" w:after="0" w:afterAutospacing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F9A420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420" w:rightChars="200"/>
        <w:jc w:val="righ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舒城县医疗保障局</w:t>
      </w:r>
    </w:p>
    <w:p w14:paraId="40C517E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525" w:rightChars="25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26年1月23日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866"/>
    <w:rsid w:val="034321D6"/>
    <w:rsid w:val="04575F38"/>
    <w:rsid w:val="0646548E"/>
    <w:rsid w:val="0F360E40"/>
    <w:rsid w:val="0FDC3796"/>
    <w:rsid w:val="126F08F1"/>
    <w:rsid w:val="14546E50"/>
    <w:rsid w:val="15B71ADE"/>
    <w:rsid w:val="165E2C55"/>
    <w:rsid w:val="16A629EF"/>
    <w:rsid w:val="18C272CB"/>
    <w:rsid w:val="1919772F"/>
    <w:rsid w:val="19B65135"/>
    <w:rsid w:val="19E00326"/>
    <w:rsid w:val="1B397CEE"/>
    <w:rsid w:val="1F816288"/>
    <w:rsid w:val="253D6ED4"/>
    <w:rsid w:val="256C0CC0"/>
    <w:rsid w:val="25990968"/>
    <w:rsid w:val="27EE3C0E"/>
    <w:rsid w:val="2C7476CB"/>
    <w:rsid w:val="31BC472F"/>
    <w:rsid w:val="349773FE"/>
    <w:rsid w:val="34D85FF9"/>
    <w:rsid w:val="35301D0A"/>
    <w:rsid w:val="38E73858"/>
    <w:rsid w:val="3FA7706D"/>
    <w:rsid w:val="4051581E"/>
    <w:rsid w:val="464E0242"/>
    <w:rsid w:val="46641F22"/>
    <w:rsid w:val="47C54534"/>
    <w:rsid w:val="4AD666AF"/>
    <w:rsid w:val="52EA3518"/>
    <w:rsid w:val="5314751C"/>
    <w:rsid w:val="55064E76"/>
    <w:rsid w:val="56CF18F7"/>
    <w:rsid w:val="58E81E30"/>
    <w:rsid w:val="5A862E7C"/>
    <w:rsid w:val="5AA11C28"/>
    <w:rsid w:val="5B656B0B"/>
    <w:rsid w:val="5D5D7D54"/>
    <w:rsid w:val="61744FEB"/>
    <w:rsid w:val="618C58CD"/>
    <w:rsid w:val="622814F0"/>
    <w:rsid w:val="63181564"/>
    <w:rsid w:val="63F87E99"/>
    <w:rsid w:val="68906041"/>
    <w:rsid w:val="694A7792"/>
    <w:rsid w:val="6C0905E4"/>
    <w:rsid w:val="6CEA1A52"/>
    <w:rsid w:val="6DB345C7"/>
    <w:rsid w:val="70205B1C"/>
    <w:rsid w:val="71102800"/>
    <w:rsid w:val="711A75B4"/>
    <w:rsid w:val="71296F3C"/>
    <w:rsid w:val="72D7174D"/>
    <w:rsid w:val="799625A9"/>
    <w:rsid w:val="7AB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1c649b63-15c2-4d74-8de8-6307de4d69ef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C572C11</paraID>
      <start>57</start>
      <end>58</end>
      <status>unmodified</status>
      <modifiedWord/>
      <trackRevisions>false</trackRevisions>
    </reviewItem>
    <reviewItem>
      <errorID>ab439a64-0bc8-4f26-93c8-4bfb65946425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 C572C11</paraID>
      <start>79</start>
      <end>84</end>
      <status>ignored</status>
      <modifiedWord/>
      <trackRevisions>false</trackRevisions>
    </reviewItem>
    <reviewItem>
      <errorID>d1c2f997-a8df-4b1d-9cf7-99ad198c136f</errorID>
      <errorWord>49</errorWord>
      <group>L1_AI</group>
      <groupName>深度校对</groupName>
      <ability>L2_AI_Grammar</ability>
      <abilityName>语法纠错</abilityName>
      <candidateList>
        <item>发布49</item>
      </candidateList>
      <explain/>
      <paraID>46E341D4</paraID>
      <start>179</start>
      <end>181</end>
      <status>ignored</status>
      <modifiedWord/>
      <trackRevisions>false</trackRevisions>
    </reviewItem>
    <reviewItem>
      <errorID>0581d7aa-e5ac-4a0c-94bd-eab361f4928a</errorID>
      <errorWord>“三公经费”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46E341D4</paraID>
      <start>318</start>
      <end>324</end>
      <status>ignored</status>
      <modifiedWord/>
      <trackRevisions>false</trackRevisions>
    </reviewItem>
    <reviewItem>
      <errorID>ac4be42d-3ca6-4767-824c-9bd63ed11e6a</errorID>
      <errorWord>急难愁盼的问题</errorWord>
      <group>L1_Political</group>
      <groupName>政治性问题</groupName>
      <ability>L2_Keyword</ability>
      <abilityName>固定表述</abilityName>
      <candidateList>
        <item>急难愁盼问题</item>
      </candidateList>
      <explain>词汇“急难愁盼问题”在特定场景下为固定表述形式，请确认此处的“急难愁盼的问题”是否存在不当。</explain>
      <paraID>59C623A8</paraID>
      <start>162</start>
      <end>169</end>
      <status>ignored</status>
      <modifiedWord/>
      <trackRevisions>false</trackRevisions>
    </reviewItem>
    <reviewItem>
      <errorID>1dab963e-8c69-483a-83d0-6d289d32f38f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59C623A8</paraID>
      <start>207</start>
      <end>208</end>
      <status>ignored</status>
      <modifiedWord/>
      <trackRevisions>false</trackRevisions>
    </reviewItem>
    <reviewItem>
      <errorID>5d228e19-3b81-445b-bbba-f2561783ff86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4F549988</paraID>
      <start>22</start>
      <end>24</end>
      <status>unmodified</status>
      <modifiedWord/>
      <trackRevisions>false</trackRevisions>
    </reviewItem>
    <reviewItem>
      <errorID>b2ce481c-ee76-448f-bc3a-7e8f1f49f60a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6230985C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9ba354-7645-41d8-ab70-f626d3889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2709</Words>
  <Characters>2815</Characters>
  <Lines>0</Lines>
  <Paragraphs>0</Paragraphs>
  <TotalTime>8</TotalTime>
  <ScaleCrop>false</ScaleCrop>
  <LinksUpToDate>false</LinksUpToDate>
  <CharactersWithSpaces>3000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ME</cp:lastModifiedBy>
  <cp:lastPrinted>2026-01-23T08:51:00Z</cp:lastPrinted>
  <dcterms:modified xsi:type="dcterms:W3CDTF">2026-01-23T09:08:38Z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eyJoZGlkIjoiMmFiYjUzYWFhYzI5Y2I4OGJmYjkyMmViNDAzNmM4YWIiLCJ1c2VySWQiOiI0NDU2MzgyMzIifQ==</vt:lpwstr>
  </property>
</Properties>
</file>