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3609B9">
      <w:pPr>
        <w:jc w:val="center"/>
        <w:rPr>
          <w:rFonts w:hint="eastAsia" w:ascii="微软雅黑" w:hAnsi="微软雅黑" w:eastAsia="微软雅黑" w:cs="微软雅黑"/>
          <w:b/>
          <w:bCs/>
          <w:sz w:val="52"/>
          <w:szCs w:val="5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52"/>
          <w:szCs w:val="52"/>
          <w:lang w:eastAsia="zh-CN"/>
        </w:rPr>
        <w:t>舒城</w:t>
      </w:r>
      <w:r>
        <w:rPr>
          <w:rFonts w:hint="eastAsia" w:ascii="微软雅黑" w:hAnsi="微软雅黑" w:eastAsia="微软雅黑" w:cs="微软雅黑"/>
          <w:b/>
          <w:bCs/>
          <w:sz w:val="52"/>
          <w:szCs w:val="52"/>
          <w:u w:val="none"/>
          <w:lang w:eastAsia="zh-CN"/>
        </w:rPr>
        <w:t>县张母桥镇</w:t>
      </w:r>
      <w:r>
        <w:rPr>
          <w:rFonts w:hint="eastAsia" w:ascii="微软雅黑" w:hAnsi="微软雅黑" w:eastAsia="微软雅黑" w:cs="微软雅黑"/>
          <w:b/>
          <w:bCs/>
          <w:sz w:val="52"/>
          <w:szCs w:val="52"/>
          <w:lang w:eastAsia="zh-CN"/>
        </w:rPr>
        <w:t>人民政府</w:t>
      </w:r>
      <w:r>
        <w:rPr>
          <w:rFonts w:hint="eastAsia" w:ascii="微软雅黑" w:hAnsi="微软雅黑" w:eastAsia="微软雅黑" w:cs="微软雅黑"/>
          <w:b/>
          <w:bCs/>
          <w:sz w:val="52"/>
          <w:szCs w:val="52"/>
          <w:lang w:val="en-US" w:eastAsia="zh-CN"/>
        </w:rPr>
        <w:t>2025年政府信息公开工作年度报告</w:t>
      </w:r>
    </w:p>
    <w:p w14:paraId="5800326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solid" w:color="FFFFFF" w:themeColor="background1" w:fill="FFFFFF" w:themeFill="background1"/>
        <w:spacing w:before="0" w:beforeAutospacing="0" w:after="0" w:afterAutospacing="0"/>
        <w:ind w:left="0" w:right="0" w:firstLine="640"/>
        <w:jc w:val="both"/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/>
          <w:lang w:val="en-US" w:eastAsia="zh-CN"/>
        </w:rPr>
      </w:pPr>
    </w:p>
    <w:p w14:paraId="0B476602">
      <w:pPr>
        <w:pStyle w:val="2"/>
        <w:widowControl/>
        <w:numPr>
          <w:ilvl w:val="0"/>
          <w:numId w:val="0"/>
        </w:numPr>
        <w:spacing w:before="0" w:beforeAutospacing="0" w:after="0" w:afterAutospacing="0"/>
        <w:ind w:left="0" w:leftChars="0" w:right="0" w:rightChars="0" w:firstLine="640" w:firstLineChars="200"/>
        <w:jc w:val="both"/>
        <w:rPr>
          <w:rFonts w:hint="eastAsia" w:ascii="仿宋_GB2312" w:hAnsi="宋体" w:eastAsia="仿宋_GB2312" w:cs="仿宋_GB2312"/>
          <w:kern w:val="2"/>
          <w:sz w:val="32"/>
          <w:szCs w:val="32"/>
          <w:lang w:eastAsia="zh-CN" w:bidi="ar-SA"/>
        </w:rPr>
      </w:pPr>
      <w:r>
        <w:rPr>
          <w:rFonts w:hint="default" w:ascii="仿宋_GB2312" w:hAnsi="宋体" w:eastAsia="仿宋_GB2312" w:cs="仿宋_GB2312"/>
          <w:kern w:val="2"/>
          <w:sz w:val="32"/>
          <w:szCs w:val="32"/>
          <w:lang w:eastAsia="zh-CN" w:bidi="ar-SA"/>
        </w:rPr>
        <w:t>202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eastAsia="zh-CN" w:bidi="ar-SA"/>
        </w:rPr>
        <w:t>年，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张母桥镇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eastAsia="zh-CN" w:bidi="ar-SA"/>
        </w:rPr>
        <w:t>在县委、县政府的坚强领导下，在县政府办的悉心指导下，认真落实《中华人民共和国政府信息公开条例》（国务院令第492号公布，国务院令第711号修订，以下简称《条例》）、《国务院办公厅政府信息与政务公开办公室关于印发&lt;中华人民共和国政府信息公开工作年度报告格式&gt;的通知》（国办公开办函〔2021〕30号）。报告主要包括：总体情况、依申请公开、政府信息管理、政府信息公开平台建设、监督保障的相关事项。本年度报告中使用数据的统计期限自202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5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eastAsia="zh-CN" w:bidi="ar-SA"/>
        </w:rPr>
        <w:t>年1月1日起至202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5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eastAsia="zh-CN" w:bidi="ar-SA"/>
        </w:rPr>
        <w:t>年12月31日止。</w:t>
      </w:r>
    </w:p>
    <w:p w14:paraId="6D1FF0E7">
      <w:pPr>
        <w:pStyle w:val="2"/>
        <w:widowControl/>
        <w:numPr>
          <w:ilvl w:val="0"/>
          <w:numId w:val="0"/>
        </w:numPr>
        <w:spacing w:before="0" w:beforeAutospacing="0" w:after="0" w:afterAutospacing="0"/>
        <w:ind w:right="0" w:rightChars="0"/>
        <w:jc w:val="both"/>
        <w:rPr>
          <w:rFonts w:hint="default" w:ascii="仿宋_GB2312" w:hAnsi="宋体" w:eastAsia="仿宋_GB2312" w:cs="仿宋_GB2312"/>
          <w:kern w:val="2"/>
          <w:sz w:val="32"/>
          <w:szCs w:val="32"/>
          <w:lang w:eastAsia="zh-CN" w:bidi="ar-SA"/>
        </w:rPr>
      </w:pPr>
      <w:r>
        <w:rPr>
          <w:rFonts w:hint="default" w:ascii="仿宋_GB2312" w:hAnsi="宋体" w:eastAsia="仿宋_GB2312" w:cs="仿宋_GB2312"/>
          <w:kern w:val="2"/>
          <w:sz w:val="32"/>
          <w:szCs w:val="32"/>
          <w:lang w:eastAsia="zh-CN" w:bidi="ar-SA"/>
        </w:rPr>
        <w:t>一、总体情况</w:t>
      </w:r>
    </w:p>
    <w:p w14:paraId="17DC5CEC">
      <w:pPr>
        <w:pStyle w:val="2"/>
        <w:widowControl/>
        <w:numPr>
          <w:ilvl w:val="0"/>
          <w:numId w:val="0"/>
        </w:numPr>
        <w:spacing w:before="0" w:beforeAutospacing="0" w:after="0" w:afterAutospacing="0"/>
        <w:ind w:left="0" w:leftChars="0" w:right="0" w:rightChars="0" w:firstLine="640" w:firstLineChars="200"/>
        <w:jc w:val="both"/>
        <w:rPr>
          <w:rFonts w:hint="default" w:ascii="仿宋_GB2312" w:hAnsi="宋体" w:eastAsia="仿宋_GB2312" w:cs="仿宋_GB2312"/>
          <w:kern w:val="2"/>
          <w:sz w:val="32"/>
          <w:szCs w:val="32"/>
          <w:lang w:eastAsia="zh-CN" w:bidi="ar-SA"/>
        </w:rPr>
      </w:pPr>
      <w:r>
        <w:rPr>
          <w:rFonts w:hint="default" w:ascii="仿宋_GB2312" w:hAnsi="宋体" w:eastAsia="仿宋_GB2312" w:cs="仿宋_GB2312"/>
          <w:kern w:val="2"/>
          <w:sz w:val="32"/>
          <w:szCs w:val="32"/>
          <w:lang w:eastAsia="zh-CN" w:bidi="ar-SA"/>
        </w:rPr>
        <w:t>2025年，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张母桥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eastAsia="zh-CN" w:bidi="ar-SA"/>
        </w:rPr>
        <w:t>镇深入学习贯彻党的二十届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eastAsia="zh-CN" w:bidi="ar-SA"/>
        </w:rPr>
        <w:t>四中全会精神，紧紧围绕全镇重点工作和群众急难愁盼，准确、及时、全面地公开政府信息，持续提效能、优服务，推动政府职能转变和透明政府建设。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eastAsia="zh-CN" w:bidi="ar-SA"/>
        </w:rPr>
        <w:t>全年公开政府信息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549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eastAsia="zh-CN" w:bidi="ar-SA"/>
        </w:rPr>
        <w:t>条，受理、办结依申请公开0件，发布政策解读信息4条、回应社会关切信息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26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eastAsia="zh-CN" w:bidi="ar-SA"/>
        </w:rPr>
        <w:t>条。</w:t>
      </w:r>
    </w:p>
    <w:p w14:paraId="119A7AC4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solid" w:color="FFFFFF" w:themeColor="background1" w:fill="FFFFFF" w:themeFill="background1"/>
        <w:spacing w:before="0" w:beforeAutospacing="0" w:after="0" w:afterAutospacing="0"/>
        <w:ind w:left="0" w:right="0" w:firstLine="0"/>
        <w:jc w:val="both"/>
        <w:rPr>
          <w:rFonts w:hint="eastAsia" w:ascii="仿宋_GB2312" w:hAnsi="宋体" w:eastAsia="仿宋_GB2312" w:cs="仿宋_GB2312"/>
          <w:kern w:val="2"/>
          <w:sz w:val="32"/>
          <w:szCs w:val="32"/>
          <w:lang w:eastAsia="zh-CN" w:bidi="ar-SA"/>
        </w:rPr>
      </w:pPr>
      <w:r>
        <w:rPr>
          <w:rFonts w:hint="default" w:ascii="仿宋_GB2312" w:hAnsi="宋体" w:eastAsia="仿宋_GB2312" w:cs="仿宋_GB2312"/>
          <w:kern w:val="2"/>
          <w:sz w:val="32"/>
          <w:szCs w:val="32"/>
          <w:lang w:eastAsia="zh-CN" w:bidi="ar-SA"/>
        </w:rPr>
        <w:t>主动公开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eastAsia="zh-CN" w:bidi="ar-SA"/>
        </w:rPr>
        <w:t>情况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eastAsia="zh-CN" w:bidi="ar-SA"/>
        </w:rPr>
        <w:t>。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eastAsia="zh-CN" w:bidi="ar-SA"/>
        </w:rPr>
        <w:t>2025年我镇主动公开信息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318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eastAsia="zh-CN" w:bidi="ar-SA"/>
        </w:rPr>
        <w:t>条，对于应该公开的内容事项做到应公开，尽公开。2025年针对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本级政府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eastAsia="zh-CN" w:bidi="ar-SA"/>
        </w:rPr>
        <w:t>制发的文件进行详细解读，保证文件内容能够被群众更好理解，提高政务公开工作的效果。本年度共发布财政专项资金发放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128条、惠民惠农资金发放12条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eastAsia="zh-CN" w:bidi="ar-SA"/>
        </w:rPr>
        <w:t>，让群众了解政府工作重心，帮助工作更好开展。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2025年定期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eastAsia="zh-CN" w:bidi="ar-SA"/>
        </w:rPr>
        <w:t>发布社会保障信息，常态化公开如最低生活保障、社会救助、特殊人群生活补贴等贴近群众生活的内容。</w:t>
      </w:r>
    </w:p>
    <w:p w14:paraId="4EC6C12C">
      <w:pPr>
        <w:keepNext w:val="0"/>
        <w:keepLines w:val="0"/>
        <w:widowControl/>
        <w:suppressLineNumbers w:val="0"/>
        <w:shd w:val="solid" w:color="FFFFFF" w:themeColor="background1" w:fill="FFFFFF" w:themeFill="background1"/>
        <w:jc w:val="left"/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/>
        </w:rPr>
        <w:t>（二）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依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申请公开。我镇认真贯彻落实省、市、县关于依申请公开的相关工作部署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,按照申请、登记、办理、审核、答复、存档等流程规范化开展依申请公开工作。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年我镇收到依申请公开申请事项0件。</w:t>
      </w:r>
    </w:p>
    <w:p w14:paraId="71389E2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solid" w:color="FFFFFF" w:themeColor="background1" w:fill="FFFFFF" w:themeFill="background1"/>
        <w:spacing w:before="0" w:beforeAutospacing="0" w:after="0" w:afterAutospacing="0"/>
        <w:ind w:left="0" w:right="0" w:firstLine="0"/>
        <w:jc w:val="both"/>
        <w:rPr>
          <w:rFonts w:hint="eastAsia" w:ascii="Calibri" w:hAnsi="Calibri" w:eastAsia="仿宋_GB2312" w:cs="Calibri"/>
          <w:i w:val="0"/>
          <w:iCs w:val="0"/>
          <w:caps w:val="0"/>
          <w:color w:val="333333"/>
          <w:spacing w:val="0"/>
          <w:sz w:val="24"/>
          <w:szCs w:val="24"/>
          <w:highlight w:val="none"/>
          <w:shd w:val="clear"/>
          <w:lang w:eastAsia="zh-CN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/>
        </w:rPr>
        <w:t>（三）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政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府信息管理。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我镇政务公开工作积极保证涉敏信息安全与公民个人隐私安全。一方面，对发布的内部信息加强管理，如鉴别涉敏信息，对涉及公民个人隐私的信息进行去标识化技术处理。另一方面，注重转载信息的选择，转载信息的来源均出自官方媒体，确保信息的安全、权威。严格执行信息发布“三审”制度，确保不发生泄密问题。另外，为进一步促进政务公开工作透明化，我镇完善了政务公开回应关切制度，及时回应群众关切问题。</w:t>
      </w:r>
    </w:p>
    <w:p w14:paraId="7757AB6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solid" w:color="FFFFFF" w:themeColor="background1" w:fill="FFFFFF" w:themeFill="background1"/>
        <w:spacing w:before="0" w:beforeAutospacing="0" w:after="0" w:afterAutospacing="0"/>
        <w:ind w:left="0" w:right="0" w:firstLine="0"/>
        <w:jc w:val="both"/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/>
        </w:rPr>
        <w:t>（四）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政府信息公开平台建设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情况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。平台建设秉持合理、实用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、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便民理念，优化线上线下服务：线上平台完整公开了政府信息公开制度、指南、目录、部门信息及依申请公开流程等内容；线下同步推进政务公开专区、窗口建设，科学配置资源，有效满足公众信息查询、申请公开及办事咨询等多元化需求。</w:t>
      </w:r>
    </w:p>
    <w:p w14:paraId="7A5E44C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solid" w:color="FFFFFF" w:themeColor="background1" w:fill="FFFFFF" w:themeFill="background1"/>
        <w:spacing w:before="0" w:beforeAutospacing="0" w:after="0" w:afterAutospacing="0"/>
        <w:ind w:left="0" w:right="0" w:firstLine="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  <w:highlight w:val="none"/>
          <w:shd w:val="clear"/>
        </w:rPr>
      </w:pP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/>
        </w:rPr>
        <w:t>（五）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监督保障。张母桥镇人民政府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针对政务公开工作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定期考核，将政务公开纳入本镇重点工作任务清单。本年度，针对上级部门要求、及自查发现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的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问题，本镇积极组织整改落实，累计完成政务公开专项整改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4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次、错敏信息整改2次，有力促进了公开工作的标准化、规范化水平提升。严格执行政府信息公开社会评议制度与责任追究制度，2025年度未发生因信息发布不当导致严重后果的责任追究事件。</w:t>
      </w:r>
    </w:p>
    <w:p w14:paraId="35641EE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solid" w:color="FFFFFF" w:themeColor="background1" w:fill="FFFFFF" w:themeFill="background1"/>
        <w:spacing w:before="0" w:beforeAutospacing="0" w:after="0" w:afterAutospacing="0"/>
        <w:ind w:left="0" w:right="0" w:firstLine="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  <w:highlight w:val="none"/>
          <w:shd w:val="clear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二</w:t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/>
        </w:rPr>
        <w:t>、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主动公开政府信息情况</w:t>
      </w:r>
    </w:p>
    <w:tbl>
      <w:tblPr>
        <w:tblStyle w:val="3"/>
        <w:tblW w:w="9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 w14:paraId="06996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4299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第二十条第（一）项</w:t>
            </w:r>
          </w:p>
        </w:tc>
      </w:tr>
      <w:tr w14:paraId="64046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DBA1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信息内容</w:t>
            </w:r>
          </w:p>
        </w:tc>
        <w:tc>
          <w:tcPr>
            <w:tcW w:w="24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C859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本年制发件数</w:t>
            </w:r>
          </w:p>
        </w:tc>
        <w:tc>
          <w:tcPr>
            <w:tcW w:w="24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5E37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D8BB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现行有效件数</w:t>
            </w:r>
          </w:p>
        </w:tc>
      </w:tr>
      <w:tr w14:paraId="16B12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  <w:jc w:val="center"/>
        </w:trPr>
        <w:tc>
          <w:tcPr>
            <w:tcW w:w="24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0AB9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0AE5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　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09F3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0 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8017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0 </w:t>
            </w:r>
          </w:p>
        </w:tc>
      </w:tr>
      <w:tr w14:paraId="1D6AB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4FE7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F912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64DF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4431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0</w:t>
            </w:r>
          </w:p>
        </w:tc>
      </w:tr>
      <w:tr w14:paraId="51A96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B076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第二十条第（五）项</w:t>
            </w:r>
          </w:p>
        </w:tc>
      </w:tr>
      <w:tr w14:paraId="3BBF8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50F8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4E40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left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本年处理决定数量</w:t>
            </w:r>
          </w:p>
        </w:tc>
      </w:tr>
      <w:tr w14:paraId="0C777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  <w:jc w:val="center"/>
        </w:trPr>
        <w:tc>
          <w:tcPr>
            <w:tcW w:w="24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FE0D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2B41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Calibri" w:hAnsi="Calibri" w:cs="Calibri"/>
                <w:sz w:val="21"/>
                <w:szCs w:val="21"/>
                <w:highlight w:val="none"/>
                <w:lang w:val="en-US" w:eastAsia="zh-CN"/>
              </w:rPr>
              <w:t>98</w:t>
            </w:r>
          </w:p>
        </w:tc>
      </w:tr>
      <w:tr w14:paraId="090E0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AD73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第二十条第（六）项</w:t>
            </w:r>
          </w:p>
        </w:tc>
      </w:tr>
      <w:tr w14:paraId="61890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640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BD88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本年处理决定数量</w:t>
            </w:r>
          </w:p>
        </w:tc>
      </w:tr>
      <w:tr w14:paraId="20C42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24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586B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1D7D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　</w:t>
            </w: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0</w:t>
            </w:r>
          </w:p>
        </w:tc>
      </w:tr>
      <w:tr w14:paraId="76109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76B9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E50E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　</w:t>
            </w: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0</w:t>
            </w:r>
          </w:p>
        </w:tc>
      </w:tr>
      <w:tr w14:paraId="319F8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94DC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第二十条第（八）项</w:t>
            </w:r>
          </w:p>
        </w:tc>
      </w:tr>
      <w:tr w14:paraId="68812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5E11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C42B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本年收费金额（单位：万元）</w:t>
            </w:r>
          </w:p>
        </w:tc>
      </w:tr>
      <w:tr w14:paraId="41EB5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0EE8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8211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0</w:t>
            </w:r>
          </w:p>
        </w:tc>
      </w:tr>
    </w:tbl>
    <w:p w14:paraId="4C28443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solid" w:color="FFFFFF" w:themeColor="background1" w:fill="FFFFFF" w:themeFill="background1"/>
        <w:spacing w:before="0" w:beforeAutospacing="0" w:after="0" w:afterAutospacing="0"/>
        <w:ind w:left="0" w:right="0" w:firstLine="0"/>
        <w:jc w:val="both"/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三、收到和处理政府信息公开申请情况</w:t>
      </w:r>
    </w:p>
    <w:tbl>
      <w:tblPr>
        <w:tblStyle w:val="3"/>
        <w:tblW w:w="9745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7"/>
        <w:gridCol w:w="943"/>
        <w:gridCol w:w="3219"/>
        <w:gridCol w:w="688"/>
        <w:gridCol w:w="688"/>
        <w:gridCol w:w="688"/>
        <w:gridCol w:w="688"/>
        <w:gridCol w:w="688"/>
        <w:gridCol w:w="688"/>
        <w:gridCol w:w="688"/>
      </w:tblGrid>
      <w:tr w14:paraId="45B2B61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3BC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（本列数据的勾稽关系为：第一项加第二项之和，等于第三项加第四项之和）</w:t>
            </w:r>
          </w:p>
        </w:tc>
        <w:tc>
          <w:tcPr>
            <w:tcW w:w="4816" w:type="dxa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A67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申请人情况</w:t>
            </w:r>
          </w:p>
        </w:tc>
      </w:tr>
      <w:tr w14:paraId="12A4A32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BF003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C66F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977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法人或其他组织</w:t>
            </w:r>
          </w:p>
        </w:tc>
        <w:tc>
          <w:tcPr>
            <w:tcW w:w="688" w:type="dxa"/>
            <w:vMerge w:val="restart"/>
            <w:tcBorders>
              <w:top w:val="single" w:color="auto" w:sz="6" w:space="0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951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总计</w:t>
            </w:r>
          </w:p>
        </w:tc>
      </w:tr>
      <w:tr w14:paraId="7B43B64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734F1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FB6F41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E41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商业</w:t>
            </w:r>
          </w:p>
          <w:p w14:paraId="042716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CBE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科研</w:t>
            </w:r>
          </w:p>
          <w:p w14:paraId="6513FB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机构</w:t>
            </w:r>
          </w:p>
        </w:tc>
        <w:tc>
          <w:tcPr>
            <w:tcW w:w="68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16D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5F2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04A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其他</w:t>
            </w:r>
          </w:p>
        </w:tc>
        <w:tc>
          <w:tcPr>
            <w:tcW w:w="688" w:type="dxa"/>
            <w:vMerge w:val="continue"/>
            <w:tcBorders>
              <w:top w:val="single" w:color="auto" w:sz="6" w:space="0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C3AFA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</w:tr>
      <w:tr w14:paraId="568D546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536B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A791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832C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F1CA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12A4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0E7E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A1A2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BA7AC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0</w:t>
            </w:r>
          </w:p>
        </w:tc>
      </w:tr>
      <w:tr w14:paraId="549F71E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79F8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331B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8403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46CB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0C56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CD3D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9AA2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F80A6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0 </w:t>
            </w:r>
          </w:p>
        </w:tc>
      </w:tr>
      <w:tr w14:paraId="3B22179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restart"/>
            <w:tcBorders>
              <w:top w:val="nil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5515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三、本年度办理结果</w:t>
            </w: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138C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F902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6E81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906C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7221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587E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58DC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48F64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0</w:t>
            </w:r>
          </w:p>
        </w:tc>
      </w:tr>
      <w:tr w14:paraId="7553ECA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72CCB9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3922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（二）部分公开（区分处理的，只计这一情形，不计其他情形）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537C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30C8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87FA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2A2C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768C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A54A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9373F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</w:tr>
      <w:tr w14:paraId="1EE4C20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C8E036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4689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（三）不予公开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D4F6B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3F324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1F5F0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2899B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EF43B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A7717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B9B28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64910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</w:tr>
      <w:tr w14:paraId="20BF16B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61193A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7EC08C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14F3F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4F1F0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274DA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2108A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76D7D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CDE48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7B9AE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96CC6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</w:tr>
      <w:tr w14:paraId="5A5A929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C11434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3741AF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049F9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3.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476AC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763CC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F797D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7CC23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E00AE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C01AB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E462C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</w:tr>
      <w:tr w14:paraId="45A1C41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BE1F2F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2D68D2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B6F7C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4.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3AEFD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D7F137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00C77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95D4B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D7936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A9EB9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FCA64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</w:tr>
      <w:tr w14:paraId="53B7317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84A7B1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EDE529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D57EB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5.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07195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D3409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C5247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DB21D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7F61C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D6D19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CEA7D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</w:tr>
      <w:tr w14:paraId="4555EB6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C3B645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141C6B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B8037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6.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A4AA8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42168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B353B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91C14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64CC8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47126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C4CDA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</w:tr>
      <w:tr w14:paraId="288BC3A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8A06FD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9F5FF0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4E237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7.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BD6C5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B7E14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DE9DF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2ED08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A613B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201FF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C22E2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</w:tr>
      <w:tr w14:paraId="66CF0FF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5B4976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CED310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FCAA8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8.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700DD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28C50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B8863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28A2E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D5A40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465F4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BB253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</w:tr>
      <w:tr w14:paraId="6ADBCAE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E1E5D7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E481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（四）无法提供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398FB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CB188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1E344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DD28F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055A2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70E1E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C8D4B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FA475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</w:tr>
      <w:tr w14:paraId="75B6571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3AC843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6F0F5E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535B9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F58A5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F29CF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8DDE0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6ED7D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C794D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95C23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EDE23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</w:tr>
      <w:tr w14:paraId="44BEA2F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98D9A0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4CC7FF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88083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3.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C6FC9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F3F8F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A913D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3DED7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D0D5B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43D2A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E12B4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</w:tr>
      <w:tr w14:paraId="75285BE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CA1F4A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9354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（五）不予处理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24E78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CCA9A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B44EB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09B59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8172A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5B44B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6A130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3C44B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</w:tr>
      <w:tr w14:paraId="2566C65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7B631B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1F9787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6D7E0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BAF07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2277C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0F80F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55841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EFAC3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0C5DF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9819A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</w:tr>
      <w:tr w14:paraId="3DB1399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A2267D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FDA659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2B6D3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3.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E2D61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B0F9B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108D1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1ABCE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FE0C8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00E06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A7FFB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</w:tr>
      <w:tr w14:paraId="5923C30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425C21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F5E0DB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94AA2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4.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DE06E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5BE53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009EC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15C2C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2AE8B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95808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F120D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</w:tr>
      <w:tr w14:paraId="0EF99DF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869996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0F5F68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CB27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5.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59B233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8D5C4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DCBE6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20A1F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DF48A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FE278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BEC29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</w:tr>
      <w:tr w14:paraId="076D2A6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atLeast"/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6B6FC8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0EF8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（六）其他处理</w:t>
            </w:r>
          </w:p>
        </w:tc>
        <w:tc>
          <w:tcPr>
            <w:tcW w:w="32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A67F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2CB3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183F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B10E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7442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81A8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A70B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11096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 </w:t>
            </w:r>
          </w:p>
          <w:p w14:paraId="42473E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</w:tr>
      <w:tr w14:paraId="6B4A99B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2F8DF8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903E5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0C37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F8A4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51C2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02F4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C188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8358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F6D9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8A2EA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</w:tr>
      <w:tr w14:paraId="239BDED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A9A5F7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54FDAF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321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7EE8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3.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C07F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DF0E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D88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1F35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3EC5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54E0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60599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</w:tr>
      <w:tr w14:paraId="2E270CE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7" w:type="dxa"/>
            <w:vMerge w:val="continue"/>
            <w:tcBorders>
              <w:top w:val="nil"/>
              <w:left w:val="single" w:color="auto" w:sz="6" w:space="0"/>
              <w:bottom w:val="outset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FD031B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416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B3D6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65CA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19F9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498C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30EC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CABE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370B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D947F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0</w:t>
            </w:r>
          </w:p>
        </w:tc>
      </w:tr>
      <w:tr w14:paraId="6430CB8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29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CBDD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0BD8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7AAB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0C56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DD71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774A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645CF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734DC0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0</w:t>
            </w:r>
          </w:p>
        </w:tc>
      </w:tr>
    </w:tbl>
    <w:p w14:paraId="3FCE6C6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solid" w:color="FFFFFF" w:themeColor="background1" w:fill="F8F8F8"/>
        <w:spacing w:before="0" w:beforeAutospacing="0" w:after="0" w:afterAutospacing="0"/>
        <w:ind w:left="0" w:right="0" w:firstLine="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  <w:highlight w:val="none"/>
          <w:shd w:val="solid" w:color="FFFFFF" w:themeColor="background1" w:fill="F8F8F8"/>
        </w:rPr>
      </w:pPr>
      <w:r>
        <w:rPr>
          <w:rFonts w:hint="default" w:ascii="Calibri" w:hAnsi="Calibri" w:eastAsia="宋体" w:cs="Calibri"/>
          <w:i w:val="0"/>
          <w:iCs w:val="0"/>
          <w:caps w:val="0"/>
          <w:color w:val="333333"/>
          <w:spacing w:val="0"/>
          <w:sz w:val="21"/>
          <w:szCs w:val="21"/>
          <w:highlight w:val="none"/>
          <w:shd w:val="solid" w:color="FFFFFF" w:themeColor="background1" w:fill="F8F8F8"/>
        </w:rPr>
        <w:t> </w:t>
      </w:r>
    </w:p>
    <w:p w14:paraId="0BEF6B5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solid" w:color="FFFFFF" w:themeColor="background1" w:fill="FFFFFF" w:themeFill="background1"/>
        <w:spacing w:before="0" w:beforeAutospacing="0" w:after="0" w:afterAutospacing="0"/>
        <w:ind w:left="0" w:right="0" w:firstLine="0"/>
        <w:jc w:val="both"/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四、政府信息公开行政复议、行政诉讼情况</w:t>
      </w:r>
    </w:p>
    <w:tbl>
      <w:tblPr>
        <w:tblStyle w:val="3"/>
        <w:tblW w:w="9743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 w14:paraId="0D7570F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3C6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行政复议</w:t>
            </w:r>
          </w:p>
        </w:tc>
        <w:tc>
          <w:tcPr>
            <w:tcW w:w="6498" w:type="dxa"/>
            <w:gridSpan w:val="10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F47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行政诉讼</w:t>
            </w:r>
          </w:p>
        </w:tc>
      </w:tr>
      <w:tr w14:paraId="5A190E7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F7A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B11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结果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136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其他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A9F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尚未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88D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F94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未经复议直接起诉</w:t>
            </w:r>
          </w:p>
        </w:tc>
        <w:tc>
          <w:tcPr>
            <w:tcW w:w="3250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8A9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复议后起诉</w:t>
            </w:r>
          </w:p>
        </w:tc>
      </w:tr>
      <w:tr w14:paraId="22CC00A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66713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6CDBF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D149E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9F2C0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95769">
            <w:pPr>
              <w:rPr>
                <w:rFonts w:hint="default" w:ascii="Times New Roman" w:hAnsi="Times New Roman" w:cs="Times New Roman"/>
                <w:sz w:val="20"/>
                <w:szCs w:val="20"/>
                <w:highlight w:val="none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876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结果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维持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4D4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结果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纠正</w:t>
            </w:r>
          </w:p>
        </w:tc>
        <w:tc>
          <w:tcPr>
            <w:tcW w:w="6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5B9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其他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结果</w:t>
            </w:r>
          </w:p>
        </w:tc>
        <w:tc>
          <w:tcPr>
            <w:tcW w:w="6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035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尚未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审结</w:t>
            </w:r>
          </w:p>
        </w:tc>
        <w:tc>
          <w:tcPr>
            <w:tcW w:w="6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414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总计</w:t>
            </w:r>
          </w:p>
        </w:tc>
        <w:tc>
          <w:tcPr>
            <w:tcW w:w="6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FFA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结果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维持</w:t>
            </w:r>
          </w:p>
        </w:tc>
        <w:tc>
          <w:tcPr>
            <w:tcW w:w="6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178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结果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纠正</w:t>
            </w:r>
          </w:p>
        </w:tc>
        <w:tc>
          <w:tcPr>
            <w:tcW w:w="6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351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其他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结果</w:t>
            </w:r>
          </w:p>
        </w:tc>
        <w:tc>
          <w:tcPr>
            <w:tcW w:w="6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B5D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尚未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审结</w:t>
            </w:r>
          </w:p>
        </w:tc>
        <w:tc>
          <w:tcPr>
            <w:tcW w:w="6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541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总计</w:t>
            </w:r>
          </w:p>
        </w:tc>
      </w:tr>
      <w:tr w14:paraId="1666D86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64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7F3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cs="Calibri"/>
                <w:sz w:val="21"/>
                <w:szCs w:val="21"/>
                <w:highlight w:val="none"/>
              </w:rPr>
              <w:t> </w:t>
            </w: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1AD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 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450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 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3EF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 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488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0 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918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 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3D8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0 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202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 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477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 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6CA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0 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1A1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 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470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 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6E0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0 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942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0 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9F8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highlight w:val="none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highlight w:val="none"/>
              </w:rPr>
              <w:t>0</w:t>
            </w:r>
          </w:p>
        </w:tc>
      </w:tr>
    </w:tbl>
    <w:p w14:paraId="01E9167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solid" w:color="FFFFFF" w:themeColor="background1" w:fill="FFFFFF" w:themeFill="background1"/>
        <w:spacing w:before="0" w:beforeAutospacing="0" w:after="0" w:afterAutospacing="0"/>
        <w:ind w:left="0" w:right="0" w:firstLine="0"/>
        <w:jc w:val="both"/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五、存在的主要问题及改进情况</w:t>
      </w:r>
    </w:p>
    <w:p w14:paraId="476E4CF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solid" w:color="FFFFFF" w:themeColor="background1" w:fill="FFFFFF" w:themeFill="background1"/>
        <w:spacing w:before="0" w:beforeAutospacing="0" w:after="0" w:afterAutospacing="0"/>
        <w:ind w:left="0" w:right="0" w:firstLine="0"/>
        <w:jc w:val="both"/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 w:themeFill="background1"/>
        </w:rPr>
        <w:t>（一）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上年度存在问题整改情况</w:t>
      </w:r>
    </w:p>
    <w:p w14:paraId="3772A20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solid" w:color="FFFFFF" w:themeColor="background1" w:fill="FFFFFF" w:themeFill="background1"/>
        <w:spacing w:before="0" w:beforeAutospacing="0" w:after="0" w:afterAutospacing="0"/>
        <w:ind w:left="0" w:right="0" w:firstLine="0"/>
        <w:jc w:val="both"/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一是扩展了信息公开内容，突出重点问题，多渠道、多形式，向社会宣传政府信息。二是全年内组织经办人员业务培训，积极对接上级部门补缺补差。</w:t>
      </w:r>
    </w:p>
    <w:p w14:paraId="7442C1D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solid" w:color="FFFFFF" w:themeColor="background1" w:fill="FFFFFF" w:themeFill="background1"/>
        <w:spacing w:before="0" w:beforeAutospacing="0" w:after="0" w:afterAutospacing="0"/>
        <w:ind w:left="0" w:right="0" w:firstLine="0"/>
        <w:jc w:val="both"/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 w:themeFill="background1"/>
        </w:rPr>
        <w:t>（二）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本年存在的问题</w:t>
      </w:r>
    </w:p>
    <w:p w14:paraId="1BC0C26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solid" w:color="FFFFFF" w:themeColor="background1" w:fill="FFFFFF" w:themeFill="background1"/>
        <w:spacing w:before="0" w:beforeAutospacing="0" w:after="0" w:afterAutospacing="0"/>
        <w:ind w:left="0" w:right="0" w:firstLine="0"/>
        <w:jc w:val="both"/>
        <w:rPr>
          <w:rFonts w:hint="default" w:ascii="仿宋_GB2312" w:hAnsi="Calibri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 w:themeFill="background1"/>
          <w:lang w:val="en-US" w:eastAsia="zh-CN"/>
        </w:rPr>
      </w:pP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一是工作质效不高。部分信息更新不及时，对重点领域信息更新力度不够。二是政策解读形式不丰富。目前信息公开大多采用文字公开，较为单一，缺乏多媒体公开形式。三是部分内容和市县栏目保持不一致</w:t>
      </w:r>
      <w:r>
        <w:rPr>
          <w:rFonts w:hint="eastAsia" w:ascii="仿宋_GB2312" w:hAnsi="Calibri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 w:themeFill="background1"/>
          <w:lang w:val="en-US" w:eastAsia="zh-CN"/>
        </w:rPr>
        <w:t>。</w:t>
      </w:r>
    </w:p>
    <w:p w14:paraId="5EA46AA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solid" w:color="FFFFFF" w:themeColor="background1" w:fill="FFFFFF" w:themeFill="background1"/>
        <w:spacing w:before="0" w:beforeAutospacing="0" w:after="0" w:afterAutospacing="0"/>
        <w:ind w:left="0" w:right="0" w:firstLine="0"/>
        <w:jc w:val="both"/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 w:themeFill="background1"/>
        </w:rPr>
        <w:t>（三）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下一步将采取以下整改措施</w:t>
      </w:r>
    </w:p>
    <w:p w14:paraId="1161401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solid" w:color="FFFFFF" w:themeColor="background1" w:fill="FFFFFF" w:themeFill="background1"/>
        <w:spacing w:before="0" w:beforeAutospacing="0" w:after="0" w:afterAutospacing="0"/>
        <w:ind w:left="0" w:right="0" w:firstLine="0"/>
        <w:jc w:val="both"/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一是加强学习。学习政务公开工作指导性文件精神，提升信息更新的及时性、准确性和完整性。围绕年度重点工作和政务公开重点工作，做好教育、财政资金、涉农补贴等重点领域信息公开工作，进一步提升工作质效。二是丰富信息公开形式。针对公开形式单调问题，利用音频、视频、图表、漫画等多种形式进行信息公开，提升信息公开质量，促进信息公开形式的多样化和丰富化。三是积极补缺补差对照上级单位公开目录及时更新栏目内容。</w:t>
      </w:r>
    </w:p>
    <w:p w14:paraId="468AFBB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solid" w:color="FFFFFF" w:themeColor="background1" w:fill="FFFFFF" w:themeFill="background1"/>
        <w:spacing w:before="0" w:beforeAutospacing="0" w:after="0" w:afterAutospacing="0"/>
        <w:ind w:left="0" w:right="0" w:firstLine="0"/>
        <w:jc w:val="both"/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六、其他需要</w:t>
      </w:r>
      <w:bookmarkStart w:id="0" w:name="_GoBack"/>
      <w:bookmarkEnd w:id="0"/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报告的事项</w:t>
      </w:r>
    </w:p>
    <w:p w14:paraId="61A7E56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solid" w:color="FFFFFF" w:themeColor="background1" w:fill="FFFFFF" w:themeFill="background1"/>
        <w:spacing w:before="0" w:beforeAutospacing="0" w:after="0" w:afterAutospacing="0"/>
        <w:ind w:left="0" w:right="0" w:firstLine="0"/>
        <w:jc w:val="both"/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按照《国务院办公厅关于印发〈政府信息公开信息处理费管理办法〉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 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的通知》（国办函〔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2020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〕</w:t>
      </w:r>
      <w:r>
        <w:rPr>
          <w:rFonts w:hint="default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109</w:t>
      </w:r>
      <w:r>
        <w:rPr>
          <w:rFonts w:hint="eastAsia" w:ascii="仿宋_GB2312" w:hAnsi="宋体" w:eastAsia="仿宋_GB2312" w:cs="仿宋_GB2312"/>
          <w:kern w:val="2"/>
          <w:sz w:val="32"/>
          <w:szCs w:val="32"/>
          <w:lang w:val="en-US" w:eastAsia="zh-CN" w:bidi="ar-SA"/>
        </w:rPr>
        <w:t>号）规定的按件、按量收费标准，本年度没有产生信息公开处理。</w:t>
      </w:r>
    </w:p>
    <w:p w14:paraId="5B54A1D4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A1731A"/>
    <w:multiLevelType w:val="singleLevel"/>
    <w:tmpl w:val="34A1731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2C55F0"/>
    <w:rsid w:val="1FF932FE"/>
    <w:rsid w:val="337D3E5D"/>
    <w:rsid w:val="418F1B67"/>
    <w:rsid w:val="5AAA5717"/>
    <w:rsid w:val="5BFF55F5"/>
    <w:rsid w:val="5DDE8DC0"/>
    <w:rsid w:val="73CEF476"/>
    <w:rsid w:val="7DFE678C"/>
    <w:rsid w:val="BDE74481"/>
    <w:rsid w:val="EFFD0B0B"/>
    <w:rsid w:val="F2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1709</Words>
  <Characters>1768</Characters>
  <Lines>0</Lines>
  <Paragraphs>0</Paragraphs>
  <TotalTime>2449</TotalTime>
  <ScaleCrop>false</ScaleCrop>
  <LinksUpToDate>false</LinksUpToDate>
  <CharactersWithSpaces>1787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2026-01-13T07:44:00Z</dcterms:created>
  <dc:creator>Administrator</dc:creator>
  <cp:lastModifiedBy>Who ～Hu</cp:lastModifiedBy>
  <dcterms:modified xsi:type="dcterms:W3CDTF">2026-01-26T03:00:41Z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eyJoZGlkIjoiMjk3NDYwNDdmNTZhODM1MjdjZWRlNzQ4ODQyYzA3ODUiLCJ1c2VySWQiOiIyNTA0MTQ4MDIifQ==</vt:lpwstr>
  </property>
  <property fmtid="{D5CDD505-2E9C-101B-9397-08002B2CF9AE}" pid="4" name="ICV">
    <vt:lpwstr>BD5D691CD194474AA3B52B53ED4B031B_12</vt:lpwstr>
  </property>
</Properties>
</file>