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C70C">
      <w:pPr>
        <w:keepNext w:val="0"/>
        <w:keepLines w:val="0"/>
        <w:pageBreakBefore w:val="0"/>
        <w:widowControl/>
        <w:shd w:val="clear"/>
        <w:kinsoku/>
        <w:wordWrap/>
        <w:overflowPunct/>
        <w:topLinePunct w:val="0"/>
        <w:autoSpaceDE/>
        <w:autoSpaceDN/>
        <w:bidi w:val="0"/>
        <w:adjustRightInd/>
        <w:snapToGrid/>
        <w:spacing w:line="660" w:lineRule="exact"/>
        <w:jc w:val="center"/>
        <w:textAlignment w:val="auto"/>
        <w:rPr>
          <w:rFonts w:ascii="Times New Roman" w:hAnsi="Times New Roman" w:eastAsia="仿宋_GB2312" w:cs="Times New Roman"/>
          <w:color w:val="000000"/>
          <w:kern w:val="0"/>
          <w:sz w:val="24"/>
          <w:szCs w:val="32"/>
        </w:rPr>
      </w:pPr>
      <w:r>
        <w:rPr>
          <w:rFonts w:hint="eastAsia" w:ascii="Times New Roman" w:hAnsi="Times New Roman" w:eastAsia="方正小标宋简体" w:cs="Times New Roman"/>
          <w:color w:val="000000"/>
          <w:kern w:val="0"/>
          <w:sz w:val="44"/>
          <w:szCs w:val="44"/>
          <w:lang w:val="en-US" w:eastAsia="zh-CN"/>
        </w:rPr>
        <w:t>舒城县统计局2025年</w:t>
      </w:r>
      <w:r>
        <w:rPr>
          <w:rFonts w:ascii="Times New Roman" w:hAnsi="Times New Roman" w:eastAsia="方正小标宋简体" w:cs="Times New Roman"/>
          <w:color w:val="000000"/>
          <w:kern w:val="0"/>
          <w:sz w:val="44"/>
          <w:szCs w:val="44"/>
        </w:rPr>
        <w:t>政府信息公开工作年度</w:t>
      </w:r>
      <w:bookmarkStart w:id="0" w:name="_GoBack"/>
      <w:bookmarkEnd w:id="0"/>
      <w:r>
        <w:rPr>
          <w:rFonts w:ascii="Times New Roman" w:hAnsi="Times New Roman" w:eastAsia="方正小标宋简体" w:cs="Times New Roman"/>
          <w:color w:val="000000"/>
          <w:kern w:val="0"/>
          <w:sz w:val="44"/>
          <w:szCs w:val="44"/>
        </w:rPr>
        <w:t>报告</w:t>
      </w:r>
    </w:p>
    <w:p w14:paraId="4EED274D">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根据《中华人民共和国政府信息公开条例》（国务院令第711号）规定和《国务院办公厅政府信息与政务公开办公室关于印发&lt;中华人民共和国政府信息公开工作年度报告格式&gt;的通知》（国办公开办函〔2021〕30号）要求，编制</w:t>
      </w:r>
      <w:r>
        <w:rPr>
          <w:rFonts w:hint="eastAsia" w:ascii="Times New Roman" w:hAnsi="Times New Roman" w:eastAsia="仿宋_GB2312" w:cs="Times New Roman"/>
          <w:color w:val="000000"/>
          <w:kern w:val="0"/>
          <w:sz w:val="32"/>
          <w:szCs w:val="32"/>
          <w:lang w:val="en-US" w:eastAsia="zh-CN"/>
        </w:rPr>
        <w:t>2025</w:t>
      </w:r>
      <w:r>
        <w:rPr>
          <w:rFonts w:hint="eastAsia" w:ascii="Times New Roman" w:hAnsi="Times New Roman" w:eastAsia="仿宋_GB2312" w:cs="Times New Roman"/>
          <w:color w:val="000000"/>
          <w:kern w:val="0"/>
          <w:sz w:val="32"/>
          <w:szCs w:val="32"/>
        </w:rPr>
        <w:t>年度舒城县统计局政府信息公开工作年度报告。全文包括总体情况、主动公开政府信息情况、收到和处理政府信息公开申请情况、政府信息公开行政复议、行政诉讼情况、存在的主要问题和改进情况和其他需要报告的事项。本年度报告中使用数据统计期限为</w:t>
      </w:r>
      <w:r>
        <w:rPr>
          <w:rFonts w:hint="eastAsia" w:ascii="Times New Roman" w:hAnsi="Times New Roman" w:eastAsia="仿宋_GB2312" w:cs="Times New Roman"/>
          <w:color w:val="000000"/>
          <w:kern w:val="0"/>
          <w:sz w:val="32"/>
          <w:szCs w:val="32"/>
          <w:lang w:val="en-US" w:eastAsia="zh-CN"/>
        </w:rPr>
        <w:t>2025</w:t>
      </w:r>
      <w:r>
        <w:rPr>
          <w:rFonts w:hint="eastAsia" w:ascii="Times New Roman" w:hAnsi="Times New Roman" w:eastAsia="仿宋_GB2312" w:cs="Times New Roman"/>
          <w:color w:val="000000"/>
          <w:kern w:val="0"/>
          <w:sz w:val="32"/>
          <w:szCs w:val="32"/>
        </w:rPr>
        <w:t>年1月1日至</w:t>
      </w:r>
      <w:r>
        <w:rPr>
          <w:rFonts w:hint="eastAsia" w:ascii="Times New Roman" w:hAnsi="Times New Roman" w:eastAsia="仿宋_GB2312" w:cs="Times New Roman"/>
          <w:color w:val="000000"/>
          <w:kern w:val="0"/>
          <w:sz w:val="32"/>
          <w:szCs w:val="32"/>
          <w:lang w:val="en-US" w:eastAsia="zh-CN"/>
        </w:rPr>
        <w:t>2025</w:t>
      </w:r>
      <w:r>
        <w:rPr>
          <w:rFonts w:hint="eastAsia" w:ascii="Times New Roman" w:hAnsi="Times New Roman" w:eastAsia="仿宋_GB2312" w:cs="Times New Roman"/>
          <w:color w:val="000000"/>
          <w:kern w:val="0"/>
          <w:sz w:val="32"/>
          <w:szCs w:val="32"/>
        </w:rPr>
        <w:t>年12月31日，本年度报告电子版可在舒城县政府信息公开平台下载。如对本报告有任何疑问，请与舒城县统计局联系（地址：安徽省六安市舒城县城关镇</w:t>
      </w:r>
      <w:r>
        <w:rPr>
          <w:rFonts w:hint="eastAsia" w:ascii="Times New Roman" w:hAnsi="Times New Roman" w:eastAsia="仿宋_GB2312" w:cs="Times New Roman"/>
          <w:color w:val="000000"/>
          <w:kern w:val="0"/>
          <w:sz w:val="32"/>
          <w:szCs w:val="32"/>
          <w:lang w:val="en-US" w:eastAsia="zh-CN"/>
        </w:rPr>
        <w:t>梅河路县委大院政府综合楼五楼</w:t>
      </w:r>
      <w:r>
        <w:rPr>
          <w:rFonts w:hint="eastAsia" w:ascii="Times New Roman" w:hAnsi="Times New Roman" w:eastAsia="仿宋_GB2312" w:cs="Times New Roman"/>
          <w:color w:val="000000"/>
          <w:kern w:val="0"/>
          <w:sz w:val="32"/>
          <w:szCs w:val="32"/>
        </w:rPr>
        <w:t>；邮编：231300；联系电话：0564-8621254）。</w:t>
      </w:r>
    </w:p>
    <w:p w14:paraId="157669BA">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60" w:lineRule="exact"/>
        <w:ind w:firstLine="420"/>
        <w:jc w:val="both"/>
        <w:textAlignment w:val="auto"/>
        <w:rPr>
          <w:rFonts w:hint="eastAsia" w:ascii="黑体" w:hAnsi="黑体" w:eastAsia="黑体" w:cs="黑体"/>
          <w:b/>
          <w:color w:val="000000"/>
          <w:kern w:val="0"/>
          <w:sz w:val="32"/>
          <w:szCs w:val="32"/>
          <w:shd w:val="clear" w:color="auto" w:fill="FFFFFF"/>
          <w:lang w:val="en-US" w:eastAsia="zh-CN" w:bidi="ar-SA"/>
        </w:rPr>
      </w:pPr>
      <w:r>
        <w:rPr>
          <w:rFonts w:hint="eastAsia" w:ascii="黑体" w:hAnsi="黑体" w:eastAsia="黑体" w:cs="黑体"/>
          <w:b/>
          <w:color w:val="000000"/>
          <w:kern w:val="0"/>
          <w:sz w:val="32"/>
          <w:szCs w:val="32"/>
          <w:shd w:val="clear" w:color="auto" w:fill="FFFFFF"/>
          <w:lang w:val="en-US" w:eastAsia="zh-CN" w:bidi="ar-SA"/>
        </w:rPr>
        <w:t>一、总体情况</w:t>
      </w:r>
    </w:p>
    <w:p w14:paraId="77EBB447">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（一）主动公开情况。</w:t>
      </w:r>
      <w:r>
        <w:rPr>
          <w:rFonts w:hint="default" w:ascii="Times New Roman" w:hAnsi="Times New Roman" w:eastAsia="仿宋_GB2312" w:cs="Times New Roman"/>
          <w:color w:val="000000"/>
          <w:kern w:val="0"/>
          <w:sz w:val="32"/>
          <w:szCs w:val="32"/>
        </w:rPr>
        <w:t>2025</w:t>
      </w:r>
      <w:r>
        <w:rPr>
          <w:rFonts w:hint="eastAsia"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舒城县统计局</w:t>
      </w:r>
      <w:r>
        <w:rPr>
          <w:rFonts w:hint="eastAsia" w:ascii="Times New Roman" w:hAnsi="Times New Roman" w:eastAsia="仿宋_GB2312" w:cs="Times New Roman"/>
          <w:color w:val="000000"/>
          <w:kern w:val="0"/>
          <w:sz w:val="32"/>
          <w:szCs w:val="32"/>
        </w:rPr>
        <w:t>结合统计工作实际，严格落实政务公开工作要求，紧扣年度政务公开工作要点，通过门户网站主动公开信息</w:t>
      </w:r>
      <w:r>
        <w:rPr>
          <w:rFonts w:hint="eastAsia" w:ascii="Times New Roman" w:hAnsi="Times New Roman" w:eastAsia="仿宋_GB2312" w:cs="Times New Roman"/>
          <w:color w:val="000000"/>
          <w:kern w:val="0"/>
          <w:sz w:val="32"/>
          <w:szCs w:val="32"/>
          <w:lang w:val="en-US" w:eastAsia="zh-CN"/>
        </w:rPr>
        <w:t>125</w:t>
      </w:r>
      <w:r>
        <w:rPr>
          <w:rFonts w:hint="eastAsia" w:ascii="Times New Roman" w:hAnsi="Times New Roman" w:eastAsia="仿宋_GB2312" w:cs="Times New Roman"/>
          <w:color w:val="000000"/>
          <w:kern w:val="0"/>
          <w:sz w:val="32"/>
          <w:szCs w:val="32"/>
        </w:rPr>
        <w:t>条。全年发布</w:t>
      </w:r>
      <w:r>
        <w:rPr>
          <w:rFonts w:hint="eastAsia" w:ascii="Times New Roman" w:hAnsi="Times New Roman" w:eastAsia="仿宋_GB2312" w:cs="Times New Roman"/>
          <w:color w:val="000000"/>
          <w:kern w:val="0"/>
          <w:sz w:val="32"/>
          <w:szCs w:val="32"/>
          <w:lang w:val="en-US" w:eastAsia="zh-CN"/>
        </w:rPr>
        <w:t>回应关切34条，财政资金10</w:t>
      </w:r>
      <w:r>
        <w:rPr>
          <w:rFonts w:hint="eastAsia" w:ascii="Times New Roman" w:hAnsi="Times New Roman" w:eastAsia="仿宋_GB2312" w:cs="Times New Roman"/>
          <w:color w:val="000000"/>
          <w:kern w:val="0"/>
          <w:sz w:val="32"/>
          <w:szCs w:val="32"/>
        </w:rPr>
        <w:t>条，政策解读</w:t>
      </w:r>
      <w:r>
        <w:rPr>
          <w:rFonts w:hint="eastAsia" w:ascii="Times New Roman" w:hAnsi="Times New Roman" w:eastAsia="仿宋_GB2312" w:cs="Times New Roman"/>
          <w:color w:val="000000"/>
          <w:kern w:val="0"/>
          <w:sz w:val="32"/>
          <w:szCs w:val="32"/>
          <w:lang w:val="en-US" w:eastAsia="zh-CN"/>
        </w:rPr>
        <w:t>7</w:t>
      </w:r>
      <w:r>
        <w:rPr>
          <w:rFonts w:hint="eastAsia" w:ascii="Times New Roman" w:hAnsi="Times New Roman" w:eastAsia="仿宋_GB2312" w:cs="Times New Roman"/>
          <w:color w:val="000000"/>
          <w:kern w:val="0"/>
          <w:sz w:val="32"/>
          <w:szCs w:val="32"/>
        </w:rPr>
        <w:t>条，召开新闻发布会</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次，重点领域信息公开</w:t>
      </w:r>
      <w:r>
        <w:rPr>
          <w:rFonts w:hint="eastAsia" w:ascii="Times New Roman" w:hAnsi="Times New Roman" w:eastAsia="仿宋_GB2312" w:cs="Times New Roman"/>
          <w:color w:val="000000"/>
          <w:kern w:val="0"/>
          <w:sz w:val="32"/>
          <w:szCs w:val="32"/>
          <w:lang w:val="en-US" w:eastAsia="zh-CN"/>
        </w:rPr>
        <w:t>31条，</w:t>
      </w:r>
      <w:r>
        <w:rPr>
          <w:rFonts w:hint="eastAsia" w:ascii="Times New Roman" w:hAnsi="Times New Roman" w:eastAsia="仿宋_GB2312" w:cs="Times New Roman"/>
          <w:color w:val="000000"/>
          <w:kern w:val="0"/>
          <w:sz w:val="32"/>
          <w:szCs w:val="32"/>
        </w:rPr>
        <w:t>统计领域“两化”栏目公开信息</w:t>
      </w:r>
      <w:r>
        <w:rPr>
          <w:rFonts w:hint="eastAsia" w:ascii="Times New Roman" w:hAnsi="Times New Roman" w:eastAsia="仿宋_GB2312" w:cs="Times New Roman"/>
          <w:color w:val="000000"/>
          <w:kern w:val="0"/>
          <w:sz w:val="32"/>
          <w:szCs w:val="32"/>
          <w:lang w:val="en-US" w:eastAsia="zh-CN"/>
        </w:rPr>
        <w:t>39</w:t>
      </w:r>
      <w:r>
        <w:rPr>
          <w:rFonts w:hint="eastAsia" w:ascii="Times New Roman" w:hAnsi="Times New Roman" w:eastAsia="仿宋_GB2312" w:cs="Times New Roman"/>
          <w:color w:val="000000"/>
          <w:kern w:val="0"/>
          <w:sz w:val="32"/>
          <w:szCs w:val="32"/>
        </w:rPr>
        <w:t>条</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有效提升了信息公开的实效性。</w:t>
      </w:r>
    </w:p>
    <w:p w14:paraId="5C4F79A2">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（二）依申请公开。</w:t>
      </w:r>
      <w:r>
        <w:rPr>
          <w:rFonts w:hint="eastAsia" w:ascii="Times New Roman" w:hAnsi="Times New Roman" w:eastAsia="仿宋_GB2312" w:cs="Times New Roman"/>
          <w:color w:val="000000"/>
          <w:kern w:val="0"/>
          <w:sz w:val="32"/>
          <w:szCs w:val="32"/>
          <w:lang w:val="en-US" w:eastAsia="zh-CN"/>
        </w:rPr>
        <w:t>2025年，</w:t>
      </w:r>
      <w:r>
        <w:rPr>
          <w:rFonts w:hint="eastAsia" w:ascii="Times New Roman" w:hAnsi="Times New Roman" w:eastAsia="仿宋_GB2312" w:cs="Times New Roman"/>
          <w:color w:val="000000"/>
          <w:kern w:val="0"/>
          <w:sz w:val="32"/>
          <w:szCs w:val="32"/>
        </w:rPr>
        <w:t>舒城县统计局认真落实《国务院办公厅关于做好政府信息依申请公开工作的意见》要求，严格规范开展政府信息依申请公开工作。办理过程中，全面规范答复流程，并按季度定期公布非主动公开文件目录。对于收到的每一条公开申请，均详细登记申请人姓名（或名称）、联系方式、接收日期、申请方式、申请内容、答复期限及送达方式等信息，并报单位主要负责人批办。申请材料于1个工作日内填写《政府信息依申请公开办理批办单》，经主要负责人审批后转交分管领导及相关业务股室研究提出答复意见。整个办理流程在20个工作日内完成，经单位主要负责人最终审核签发后，以正式答复书形式回复申请人，确保工作规范、高效、有序推进。2025年，我局共收到政府信息公开申请1件，已依法合规予以答复。全年未因信息公开工作引发行政复议、行政诉讼或投诉。</w:t>
      </w:r>
    </w:p>
    <w:p w14:paraId="150D01E5">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Times New Roman" w:hAnsi="Times New Roman" w:eastAsia="仿宋_GB2312" w:cs="Times New Roman"/>
          <w:color w:val="000000"/>
          <w:kern w:val="0"/>
          <w:sz w:val="32"/>
          <w:szCs w:val="32"/>
        </w:rPr>
        <w:t>（三）政府信息管理。</w:t>
      </w:r>
      <w:r>
        <w:rPr>
          <w:rFonts w:hint="eastAsia" w:ascii="Times New Roman" w:hAnsi="Times New Roman" w:eastAsia="仿宋_GB2312" w:cs="Times New Roman"/>
          <w:color w:val="000000"/>
          <w:kern w:val="0"/>
          <w:sz w:val="32"/>
          <w:szCs w:val="32"/>
          <w:lang w:val="en-US" w:eastAsia="zh-CN"/>
        </w:rPr>
        <w:t>2025年，</w:t>
      </w:r>
      <w:r>
        <w:rPr>
          <w:rFonts w:hint="eastAsia" w:ascii="仿宋_GB2312" w:hAnsi="宋体" w:eastAsia="仿宋_GB2312" w:cs="仿宋_GB2312"/>
          <w:i w:val="0"/>
          <w:iCs w:val="0"/>
          <w:caps w:val="0"/>
          <w:color w:val="000000"/>
          <w:spacing w:val="0"/>
          <w:sz w:val="32"/>
          <w:szCs w:val="32"/>
          <w:shd w:val="clear" w:fill="FFFFFF"/>
          <w:lang w:val="en-US" w:eastAsia="zh-CN"/>
        </w:rPr>
        <w:t>舒城</w:t>
      </w:r>
      <w:r>
        <w:rPr>
          <w:rFonts w:ascii="仿宋_GB2312" w:hAnsi="宋体" w:eastAsia="仿宋_GB2312" w:cs="仿宋_GB2312"/>
          <w:i w:val="0"/>
          <w:iCs w:val="0"/>
          <w:caps w:val="0"/>
          <w:color w:val="000000"/>
          <w:spacing w:val="0"/>
          <w:sz w:val="32"/>
          <w:szCs w:val="32"/>
          <w:shd w:val="clear" w:fill="FFFFFF"/>
        </w:rPr>
        <w:t>县统计局</w:t>
      </w:r>
      <w:r>
        <w:rPr>
          <w:rFonts w:hint="eastAsia" w:ascii="仿宋_GB2312" w:hAnsi="宋体" w:eastAsia="仿宋_GB2312" w:cs="仿宋_GB2312"/>
          <w:i w:val="0"/>
          <w:iCs w:val="0"/>
          <w:caps w:val="0"/>
          <w:color w:val="000000"/>
          <w:spacing w:val="0"/>
          <w:sz w:val="32"/>
          <w:szCs w:val="32"/>
          <w:shd w:val="clear" w:fill="FFFFFF"/>
        </w:rPr>
        <w:t>规范政府信息管理</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严格执行信息发布“三审”制度，做到信息发布必先审查，先审再发。严格执行保密制度，做到“涉密信息不上网”。</w:t>
      </w:r>
    </w:p>
    <w:p w14:paraId="4A628F72">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（四）政府信息公开平台建设情况。</w:t>
      </w:r>
      <w:r>
        <w:rPr>
          <w:rFonts w:hint="eastAsia" w:ascii="仿宋_GB2312" w:hAnsi="宋体" w:eastAsia="仿宋_GB2312" w:cs="仿宋_GB2312"/>
          <w:i w:val="0"/>
          <w:iCs w:val="0"/>
          <w:caps w:val="0"/>
          <w:color w:val="000000"/>
          <w:spacing w:val="0"/>
          <w:sz w:val="32"/>
          <w:szCs w:val="32"/>
          <w:shd w:val="clear" w:fill="FFFFFF"/>
        </w:rPr>
        <w:t>今年以来，我局聚焦平台功能优化，提升公开服务效能。推进平台互动功能建设，在门户网站开通咨询留言通道，安排专人负责日常留言监测与答复，建立公众咨询快速回应机制，确保</w:t>
      </w:r>
      <w:r>
        <w:rPr>
          <w:rFonts w:hint="default" w:ascii="仿宋_GB2312" w:hAnsi="宋体" w:eastAsia="仿宋_GB2312" w:cs="仿宋_GB2312"/>
          <w:i w:val="0"/>
          <w:iCs w:val="0"/>
          <w:caps w:val="0"/>
          <w:color w:val="000000"/>
          <w:spacing w:val="0"/>
          <w:sz w:val="32"/>
          <w:szCs w:val="32"/>
          <w:shd w:val="clear" w:fill="FFFFFF"/>
        </w:rPr>
        <w:t>“</w:t>
      </w:r>
      <w:r>
        <w:rPr>
          <w:rFonts w:hint="eastAsia" w:ascii="仿宋_GB2312" w:hAnsi="宋体" w:eastAsia="仿宋_GB2312" w:cs="仿宋_GB2312"/>
          <w:i w:val="0"/>
          <w:iCs w:val="0"/>
          <w:caps w:val="0"/>
          <w:color w:val="000000"/>
          <w:spacing w:val="0"/>
          <w:sz w:val="32"/>
          <w:szCs w:val="32"/>
          <w:shd w:val="clear" w:fill="FFFFFF"/>
        </w:rPr>
        <w:t>事事有回应、件件有落实</w:t>
      </w:r>
      <w:r>
        <w:rPr>
          <w:rFonts w:hint="default" w:ascii="仿宋_GB2312" w:hAnsi="宋体" w:eastAsia="仿宋_GB2312" w:cs="仿宋_GB2312"/>
          <w:i w:val="0"/>
          <w:iCs w:val="0"/>
          <w:caps w:val="0"/>
          <w:color w:val="000000"/>
          <w:spacing w:val="0"/>
          <w:sz w:val="32"/>
          <w:szCs w:val="32"/>
          <w:shd w:val="clear" w:fill="FFFFFF"/>
        </w:rPr>
        <w:t>”</w:t>
      </w:r>
      <w:r>
        <w:rPr>
          <w:rFonts w:hint="eastAsia" w:ascii="仿宋_GB2312" w:hAnsi="宋体" w:eastAsia="仿宋_GB2312" w:cs="仿宋_GB2312"/>
          <w:i w:val="0"/>
          <w:iCs w:val="0"/>
          <w:caps w:val="0"/>
          <w:color w:val="000000"/>
          <w:spacing w:val="0"/>
          <w:sz w:val="32"/>
          <w:szCs w:val="32"/>
          <w:shd w:val="clear" w:fill="FFFFFF"/>
        </w:rPr>
        <w:t>，</w:t>
      </w:r>
      <w:r>
        <w:rPr>
          <w:rFonts w:hint="eastAsia" w:ascii="Times New Roman" w:hAnsi="Times New Roman" w:eastAsia="仿宋_GB2312" w:cs="Times New Roman"/>
          <w:color w:val="000000"/>
          <w:kern w:val="0"/>
          <w:sz w:val="32"/>
          <w:szCs w:val="32"/>
        </w:rPr>
        <w:t>2025年通过热线平台回应群众数据咨询</w:t>
      </w:r>
      <w:r>
        <w:rPr>
          <w:rFonts w:hint="eastAsia" w:ascii="Times New Roman" w:hAnsi="Times New Roman" w:eastAsia="仿宋_GB2312" w:cs="Times New Roman"/>
          <w:color w:val="000000"/>
          <w:kern w:val="0"/>
          <w:sz w:val="32"/>
          <w:szCs w:val="32"/>
          <w:lang w:val="en-US" w:eastAsia="zh-CN"/>
        </w:rPr>
        <w:t>17</w:t>
      </w:r>
      <w:r>
        <w:rPr>
          <w:rFonts w:hint="eastAsia" w:ascii="Times New Roman" w:hAnsi="Times New Roman" w:eastAsia="仿宋_GB2312" w:cs="Times New Roman"/>
          <w:color w:val="000000"/>
          <w:kern w:val="0"/>
          <w:sz w:val="32"/>
          <w:szCs w:val="32"/>
        </w:rPr>
        <w:t>件，办理结果均获满意评价。</w:t>
      </w:r>
    </w:p>
    <w:p w14:paraId="7C70A8B0">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rPr>
        <w:t>）监督保障。</w:t>
      </w:r>
      <w:r>
        <w:rPr>
          <w:rFonts w:hint="eastAsia" w:ascii="Times New Roman" w:hAnsi="Times New Roman" w:eastAsia="仿宋_GB2312" w:cs="Times New Roman"/>
          <w:color w:val="000000"/>
          <w:kern w:val="0"/>
          <w:sz w:val="32"/>
          <w:szCs w:val="32"/>
          <w:lang w:val="en-US" w:eastAsia="zh-CN"/>
        </w:rPr>
        <w:t>今年</w:t>
      </w:r>
      <w:r>
        <w:rPr>
          <w:rFonts w:hint="eastAsia" w:ascii="Times New Roman" w:hAnsi="Times New Roman" w:eastAsia="仿宋_GB2312" w:cs="Times New Roman"/>
          <w:color w:val="000000"/>
          <w:kern w:val="0"/>
          <w:sz w:val="32"/>
          <w:szCs w:val="32"/>
        </w:rPr>
        <w:t>5月26日，</w:t>
      </w:r>
      <w:r>
        <w:rPr>
          <w:rFonts w:hint="eastAsia" w:ascii="Times New Roman" w:hAnsi="Times New Roman" w:eastAsia="仿宋_GB2312" w:cs="Times New Roman"/>
          <w:color w:val="000000"/>
          <w:kern w:val="0"/>
          <w:sz w:val="32"/>
          <w:szCs w:val="32"/>
          <w:lang w:val="en-US" w:eastAsia="zh-CN"/>
        </w:rPr>
        <w:t>我局</w:t>
      </w:r>
      <w:r>
        <w:rPr>
          <w:rFonts w:hint="eastAsia" w:ascii="Times New Roman" w:hAnsi="Times New Roman" w:eastAsia="仿宋_GB2312" w:cs="Times New Roman"/>
          <w:color w:val="000000"/>
          <w:kern w:val="0"/>
          <w:sz w:val="32"/>
          <w:szCs w:val="32"/>
        </w:rPr>
        <w:t>召开政务公开工作专题培训会，会议集中学习了《中华人民共和国统计法》《中华人民共和国政府信息公开条例》等内容。于9月19日在</w:t>
      </w:r>
      <w:r>
        <w:rPr>
          <w:rFonts w:hint="eastAsia" w:ascii="Times New Roman" w:hAnsi="Times New Roman" w:eastAsia="仿宋_GB2312" w:cs="Times New Roman"/>
          <w:color w:val="000000"/>
          <w:kern w:val="0"/>
          <w:sz w:val="32"/>
          <w:szCs w:val="32"/>
          <w:lang w:val="en-US" w:eastAsia="zh-CN"/>
        </w:rPr>
        <w:t>城关镇春秋苑社区</w:t>
      </w:r>
      <w:r>
        <w:rPr>
          <w:rFonts w:hint="eastAsia" w:ascii="Times New Roman" w:hAnsi="Times New Roman" w:eastAsia="仿宋_GB2312" w:cs="Times New Roman"/>
          <w:color w:val="000000"/>
          <w:kern w:val="0"/>
          <w:sz w:val="32"/>
          <w:szCs w:val="32"/>
        </w:rPr>
        <w:t>举办</w:t>
      </w:r>
      <w:r>
        <w:rPr>
          <w:rFonts w:hint="eastAsia" w:ascii="Times New Roman" w:hAnsi="Times New Roman" w:eastAsia="仿宋_GB2312" w:cs="Times New Roman"/>
          <w:color w:val="000000"/>
          <w:kern w:val="0"/>
          <w:sz w:val="32"/>
          <w:szCs w:val="32"/>
          <w:lang w:val="en-US" w:eastAsia="zh-CN"/>
        </w:rPr>
        <w:t>了</w:t>
      </w:r>
      <w:r>
        <w:rPr>
          <w:rFonts w:hint="eastAsia" w:ascii="Times New Roman" w:hAnsi="Times New Roman" w:eastAsia="仿宋_GB2312" w:cs="Times New Roman"/>
          <w:color w:val="000000"/>
          <w:kern w:val="0"/>
          <w:sz w:val="32"/>
          <w:szCs w:val="32"/>
        </w:rPr>
        <w:t>以“诚信诚实守初心，依法统计担使命”为主题的第十</w:t>
      </w: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rPr>
        <w:t>届“中国统计开放日”宣传活动，现场宣讲新《中华人民共和国统计法》，发放宣传资料，普及统计法律知识与统计工作流程</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工作人员为群众提供统计业务咨询，解答疑惑50余次，增强公众依法统计意识。202</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我</w:t>
      </w:r>
      <w:r>
        <w:rPr>
          <w:rFonts w:hint="eastAsia" w:ascii="Times New Roman" w:hAnsi="Times New Roman" w:eastAsia="仿宋_GB2312" w:cs="Times New Roman"/>
          <w:color w:val="000000"/>
          <w:kern w:val="0"/>
          <w:sz w:val="32"/>
          <w:szCs w:val="32"/>
        </w:rPr>
        <w:t>局未开展社会评议，无因政府信息公开发生的责任追究情况。</w:t>
      </w:r>
    </w:p>
    <w:p w14:paraId="23075BC7">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60" w:lineRule="exact"/>
        <w:ind w:firstLine="420"/>
        <w:jc w:val="both"/>
        <w:textAlignment w:val="auto"/>
        <w:rPr>
          <w:rFonts w:hint="eastAsia" w:ascii="黑体" w:hAnsi="黑体" w:eastAsia="黑体" w:cs="黑体"/>
          <w:b/>
          <w:color w:val="000000"/>
          <w:kern w:val="0"/>
          <w:sz w:val="32"/>
          <w:szCs w:val="32"/>
          <w:shd w:val="clear" w:color="auto" w:fill="FFFFFF"/>
          <w:lang w:val="en-US" w:eastAsia="zh-CN" w:bidi="ar-SA"/>
        </w:rPr>
      </w:pPr>
      <w:r>
        <w:rPr>
          <w:rFonts w:hint="eastAsia" w:ascii="黑体" w:hAnsi="黑体" w:eastAsia="黑体" w:cs="黑体"/>
          <w:b/>
          <w:color w:val="000000"/>
          <w:kern w:val="0"/>
          <w:sz w:val="32"/>
          <w:szCs w:val="32"/>
          <w:shd w:val="clear" w:color="auto" w:fill="FFFFFF"/>
          <w:lang w:val="en-US" w:eastAsia="zh-CN" w:bidi="ar-SA"/>
        </w:rPr>
        <w:t>二、主动公开政府信息情况</w:t>
      </w: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14:paraId="65DDD646">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85CDDE7">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第二十条第（一）项</w:t>
            </w:r>
          </w:p>
        </w:tc>
      </w:tr>
      <w:tr w14:paraId="25658F6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4C9C362">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E03E065">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8209F2F">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75D340CE">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现行有效件数</w:t>
            </w:r>
          </w:p>
        </w:tc>
      </w:tr>
      <w:tr w14:paraId="54EC9BC6">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417E0C">
            <w:pPr>
              <w:widowControl/>
              <w:shd w:val="clea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48DAEEB8">
            <w:pPr>
              <w:widowControl/>
              <w:shd w:val="clea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D8BE841">
            <w:pPr>
              <w:widowControl/>
              <w:shd w:val="clea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2435" w:type="dxa"/>
            <w:tcBorders>
              <w:top w:val="nil"/>
              <w:left w:val="nil"/>
              <w:bottom w:val="single" w:color="auto" w:sz="8" w:space="0"/>
              <w:right w:val="single" w:color="auto" w:sz="8" w:space="0"/>
            </w:tcBorders>
            <w:tcMar>
              <w:left w:w="57" w:type="dxa"/>
              <w:right w:w="57" w:type="dxa"/>
            </w:tcMar>
            <w:vAlign w:val="center"/>
          </w:tcPr>
          <w:p w14:paraId="0903FFD4">
            <w:pPr>
              <w:widowControl/>
              <w:shd w:val="clea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14:paraId="4697D54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BCDABC3">
            <w:pPr>
              <w:widowControl/>
              <w:shd w:val="clea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7AFE68A6">
            <w:pPr>
              <w:widowControl/>
              <w:shd w:val="clea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E1FC1E1">
            <w:pPr>
              <w:widowControl/>
              <w:shd w:val="clea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2435" w:type="dxa"/>
            <w:tcBorders>
              <w:top w:val="nil"/>
              <w:left w:val="nil"/>
              <w:bottom w:val="single" w:color="auto" w:sz="8" w:space="0"/>
              <w:right w:val="single" w:color="auto" w:sz="8" w:space="0"/>
            </w:tcBorders>
            <w:tcMar>
              <w:left w:w="57" w:type="dxa"/>
              <w:right w:w="57" w:type="dxa"/>
            </w:tcMar>
            <w:vAlign w:val="center"/>
          </w:tcPr>
          <w:p w14:paraId="0D613130">
            <w:pPr>
              <w:widowControl/>
              <w:shd w:val="clear"/>
              <w:jc w:val="center"/>
              <w:rPr>
                <w:rFonts w:hint="eastAsia" w:ascii="宋体" w:hAnsi="宋体" w:eastAsia="宋体" w:cs="宋体"/>
                <w:color w:val="000000"/>
                <w:kern w:val="0"/>
                <w:sz w:val="24"/>
                <w:szCs w:val="24"/>
                <w:lang w:val="en-US" w:eastAsia="zh-CN"/>
              </w:rPr>
            </w:pPr>
            <w:r>
              <w:rPr>
                <w:rFonts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r>
      <w:tr w14:paraId="1F7C294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25CAA34">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第二十条第（五）项</w:t>
            </w:r>
          </w:p>
        </w:tc>
      </w:tr>
      <w:tr w14:paraId="51DF554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D4BE5D3">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15FDE1C">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本年处理决定数量</w:t>
            </w:r>
          </w:p>
        </w:tc>
      </w:tr>
      <w:tr w14:paraId="118DE43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9565A27">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B03A55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4D0A8F3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70E112E">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第二十条第（六）项</w:t>
            </w:r>
          </w:p>
        </w:tc>
      </w:tr>
      <w:tr w14:paraId="08D88CC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8235CFC">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5963BB74">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本年处理决定数量</w:t>
            </w:r>
          </w:p>
        </w:tc>
      </w:tr>
      <w:tr w14:paraId="2EEE02B0">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4540616">
            <w:pPr>
              <w:widowControl/>
              <w:shd w:val="clea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BBD6563">
            <w:pPr>
              <w:widowControl/>
              <w:shd w:val="clea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r>
      <w:tr w14:paraId="49EE28B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E8D3B6">
            <w:pPr>
              <w:widowControl/>
              <w:shd w:val="clea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DC6B576">
            <w:pPr>
              <w:widowControl/>
              <w:shd w:val="clea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14:paraId="1D7F8F9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2EE78C7">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第二十条第（八）项</w:t>
            </w:r>
          </w:p>
        </w:tc>
      </w:tr>
      <w:tr w14:paraId="1903144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BC7878">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8F2BAEF">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本年收费金额（单位：万元）</w:t>
            </w:r>
          </w:p>
        </w:tc>
      </w:tr>
      <w:tr w14:paraId="06D6D57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4BE7743">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133F1A9">
            <w:pPr>
              <w:shd w:val="clea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14:paraId="1149A0CB">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60" w:lineRule="exact"/>
        <w:ind w:firstLine="420"/>
        <w:jc w:val="both"/>
        <w:textAlignment w:val="auto"/>
        <w:rPr>
          <w:rFonts w:hint="eastAsia" w:ascii="黑体" w:hAnsi="黑体" w:eastAsia="黑体" w:cs="黑体"/>
          <w:b/>
          <w:color w:val="000000"/>
          <w:kern w:val="0"/>
          <w:sz w:val="32"/>
          <w:szCs w:val="32"/>
          <w:shd w:val="clear" w:color="auto" w:fill="FFFFFF"/>
          <w:lang w:val="en-US" w:eastAsia="zh-CN" w:bidi="ar-SA"/>
        </w:rPr>
      </w:pPr>
      <w:r>
        <w:rPr>
          <w:rFonts w:hint="eastAsia" w:ascii="黑体" w:hAnsi="黑体" w:eastAsia="黑体" w:cs="黑体"/>
          <w:b/>
          <w:color w:val="000000"/>
          <w:kern w:val="0"/>
          <w:sz w:val="32"/>
          <w:szCs w:val="32"/>
          <w:shd w:val="clear" w:color="auto" w:fill="FFFFFF"/>
          <w:lang w:val="en-US" w:eastAsia="zh-CN" w:bidi="ar-SA"/>
        </w:rPr>
        <w:t>三、收到和处理政府信息公开申请情况</w:t>
      </w:r>
    </w:p>
    <w:tbl>
      <w:tblPr>
        <w:tblStyle w:val="5"/>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649C01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2DE85D5">
            <w:pPr>
              <w:widowControl/>
              <w:shd w:val="clear"/>
              <w:jc w:val="left"/>
              <w:rPr>
                <w:rFonts w:ascii="仿宋_GB2312" w:hAnsi="Times New Roman" w:eastAsia="仿宋_GB2312" w:cs="Times New Roman"/>
                <w:color w:val="000000"/>
                <w:sz w:val="24"/>
                <w:szCs w:val="24"/>
              </w:rPr>
            </w:pPr>
            <w:r>
              <w:rPr>
                <w:rFonts w:ascii="楷体" w:hAnsi="楷体" w:eastAsia="楷体" w:cs="楷体"/>
                <w:color w:val="000000"/>
                <w:kern w:val="0"/>
                <w:sz w:val="24"/>
                <w:szCs w:val="24"/>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7EE6A303">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申请人情况</w:t>
            </w:r>
          </w:p>
        </w:tc>
      </w:tr>
      <w:tr w14:paraId="571465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BC1D1EC">
            <w:pPr>
              <w:shd w:val="clea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33C5A624">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51372A24">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781E71DC">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总计</w:t>
            </w:r>
          </w:p>
        </w:tc>
      </w:tr>
      <w:tr w14:paraId="2F8830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4C4D3365">
            <w:pPr>
              <w:shd w:val="clea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0F74B6EA">
            <w:pPr>
              <w:shd w:val="clea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52C2C679">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商业</w:t>
            </w:r>
          </w:p>
          <w:p w14:paraId="0BC1677C">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5E9F840E">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科研</w:t>
            </w:r>
          </w:p>
          <w:p w14:paraId="38A86C81">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B467640">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74843FF9">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5E0BE1A0">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1CF7CE22">
            <w:pPr>
              <w:shd w:val="clear"/>
              <w:rPr>
                <w:rFonts w:ascii="宋体" w:hAnsi="Times New Roman" w:eastAsia="仿宋_GB2312" w:cs="Times New Roman"/>
                <w:color w:val="000000"/>
                <w:sz w:val="24"/>
                <w:szCs w:val="24"/>
              </w:rPr>
            </w:pPr>
          </w:p>
        </w:tc>
      </w:tr>
      <w:tr w14:paraId="2864E5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7FE5967">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78008823">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23097E1C">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2AF1B9">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82AB5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B13FE3">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2912C9">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D3981A">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1</w:t>
            </w:r>
          </w:p>
        </w:tc>
      </w:tr>
      <w:tr w14:paraId="6DFB8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99763A3">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6F3C70B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F3C2F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39638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ECE5C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60034C">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30404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958CC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1FA554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814D11E">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09CAF04F">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622A737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0D6E10E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BEA1D6">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5BD5A5">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679F4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7B79C2">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4EEAAAE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1</w:t>
            </w:r>
          </w:p>
        </w:tc>
      </w:tr>
      <w:tr w14:paraId="4B2B2D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B98FA68">
            <w:pPr>
              <w:shd w:val="clea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426A972F">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（二）部分公开</w:t>
            </w:r>
            <w:r>
              <w:rPr>
                <w:rFonts w:hint="eastAsia" w:ascii="楷体" w:hAnsi="楷体" w:eastAsia="楷体" w:cs="楷体"/>
                <w:color w:val="000000"/>
                <w:kern w:val="0"/>
                <w:sz w:val="24"/>
                <w:szCs w:val="24"/>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3DE93BC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ED3324">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6AD38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FE12F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865C2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F9EFB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6E38A3">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3DD17E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2F119AD">
            <w:pPr>
              <w:shd w:val="clea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5E4C2C9">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（三）不予公开</w:t>
            </w:r>
          </w:p>
        </w:tc>
        <w:tc>
          <w:tcPr>
            <w:tcW w:w="3219" w:type="dxa"/>
            <w:tcBorders>
              <w:top w:val="nil"/>
              <w:left w:val="nil"/>
              <w:bottom w:val="single" w:color="auto" w:sz="8" w:space="0"/>
              <w:right w:val="single" w:color="auto" w:sz="8" w:space="0"/>
            </w:tcBorders>
            <w:tcMar>
              <w:left w:w="57" w:type="dxa"/>
              <w:right w:w="57" w:type="dxa"/>
            </w:tcMar>
          </w:tcPr>
          <w:p w14:paraId="3177F0D9">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11E04173">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B2F45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1FA66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D6D6DC">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CDABAE">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5FC16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593F56B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6D8455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2008E09">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EFD9970">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4534EA7">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48108FCD">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468BF4">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D04D534">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DA27B1">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E90E4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0DD2B4">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F9336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166A5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E104B23">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8A6FC61">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ED00FA7">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7B153A9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1530B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6E5FC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41957D">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375436">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F236F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480BFD">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234BE1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D3F643B">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70833E4">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2DF79DA">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106730AE">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E66C3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E75C9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E859A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E504E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816EA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12152D">
            <w:pPr>
              <w:widowControl/>
              <w:shd w:val="clear"/>
              <w:jc w:val="center"/>
              <w:rPr>
                <w:rFonts w:hint="default"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1728B8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C979CA6">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3E98DB">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687BAA4">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6B0472EA">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06CAD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6F07F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B4F7C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2E90A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84FCB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148D0C">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6E65B7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31125E8">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EAF640">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1667F443">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713AE2C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EAD34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FCC02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6933E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FD60A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6295D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BF151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17B1C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58ABD26">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CCAEDB3">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54BAA979">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6834600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2E70E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3116A3">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AACBC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E1DA5A">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1037B1">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86A25A">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7DE1D6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7C25A0">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68EF3DB">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69FB2813">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43C86DC6">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E893E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E2C02C">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86283C">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C8DED6">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7EF1E5">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0D515D">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r>
      <w:tr w14:paraId="481F2D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7FF651C">
            <w:pPr>
              <w:shd w:val="clea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396DAA27">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（四）无法提供</w:t>
            </w:r>
          </w:p>
        </w:tc>
        <w:tc>
          <w:tcPr>
            <w:tcW w:w="3219" w:type="dxa"/>
            <w:tcBorders>
              <w:top w:val="nil"/>
              <w:left w:val="nil"/>
              <w:bottom w:val="single" w:color="auto" w:sz="8" w:space="0"/>
              <w:right w:val="single" w:color="auto" w:sz="8" w:space="0"/>
            </w:tcBorders>
            <w:tcMar>
              <w:left w:w="57" w:type="dxa"/>
              <w:right w:w="57" w:type="dxa"/>
            </w:tcMar>
          </w:tcPr>
          <w:p w14:paraId="53769790">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292DE6F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902E5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B29151">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41A76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D9FB6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A0D69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588906">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r>
      <w:tr w14:paraId="67E40E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861A1E4">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153EFC2">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5E88D874">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5DA5192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400C2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8201B6">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D09E7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63A20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C2E964">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BDC57D">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154045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EBFDA0A">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50ECEDB">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68BDEFDB">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489E755E">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DA74C3">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C0103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2A9A3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6E0485">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948F0D">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BA5E1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283110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FA6DC9E">
            <w:pPr>
              <w:shd w:val="clea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DDA652">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（五）不予处理</w:t>
            </w:r>
          </w:p>
        </w:tc>
        <w:tc>
          <w:tcPr>
            <w:tcW w:w="3219" w:type="dxa"/>
            <w:tcBorders>
              <w:top w:val="nil"/>
              <w:left w:val="nil"/>
              <w:bottom w:val="single" w:color="auto" w:sz="8" w:space="0"/>
              <w:right w:val="single" w:color="auto" w:sz="8" w:space="0"/>
            </w:tcBorders>
            <w:tcMar>
              <w:left w:w="57" w:type="dxa"/>
              <w:right w:w="57" w:type="dxa"/>
            </w:tcMar>
          </w:tcPr>
          <w:p w14:paraId="50622D31">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53FED11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9B31D3">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5AFE09">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1863B0">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8179E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3DC633">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296926">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r>
      <w:tr w14:paraId="58E6E8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9C55D1C">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EE73AEE">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5E5B9733">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1C2B593B">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C3A39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05678A">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19F63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1A248D">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281D8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E3687B">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r>
      <w:tr w14:paraId="0242F8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923D7DA">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4C0FD0">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4FF4B5A">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523DB10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3183C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23ECFD">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E4A46C">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F1BD3E">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918A0A">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2352DA">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146120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63BA0F1">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8F8F6A1">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2B26FA6">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41FD677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20E8CE">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CCFC1E">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9BAA0F">
            <w:pPr>
              <w:widowControl/>
              <w:shd w:val="clear"/>
              <w:jc w:val="center"/>
              <w:rPr>
                <w:rFonts w:hint="eastAsia" w:ascii="仿宋_GB2312" w:hAnsi="Times New Roman" w:eastAsia="仿宋_GB2312" w:cs="Times New Roman"/>
                <w:color w:val="000000"/>
                <w:sz w:val="24"/>
                <w:szCs w:val="24"/>
                <w:lang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49EE8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E26230">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653654">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r>
      <w:tr w14:paraId="761C81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E6EF3D5">
            <w:pPr>
              <w:shd w:val="clea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7DA6200">
            <w:pPr>
              <w:shd w:val="clea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40FBF65D">
            <w:pPr>
              <w:widowControl/>
              <w:shd w:val="clea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5501E8FC">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65C1073">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6D4677DA">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470A54AE">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4DD8A405">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049937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14950F7">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4C9C8A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DA43705">
            <w:pPr>
              <w:shd w:val="clea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4CF788D0">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22071CAD">
            <w:pPr>
              <w:widowControl/>
              <w:shd w:val="clea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5DBF002E">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EE051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0FCC97">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A1B808">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00B46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278C56">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BB573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r>
      <w:tr w14:paraId="5C3868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B2F0E26">
            <w:pPr>
              <w:shd w:val="clea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A83E3D4">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39E91DF">
            <w:pPr>
              <w:widowControl/>
              <w:shd w:val="clea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2ECB896E">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36AE4C">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FA3E62">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71C8A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BBBC94">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50788C">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E552F3">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r>
      <w:tr w14:paraId="36233C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FF21817">
            <w:pPr>
              <w:shd w:val="clea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196D8AE4">
            <w:pPr>
              <w:shd w:val="clea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91BF32B">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613D522A">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B0E12F">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7DA86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6CB003">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F8EAF4">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D11C35">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8DC979">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r>
      <w:tr w14:paraId="4C23B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600BAB6">
            <w:pPr>
              <w:shd w:val="clea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7FE6A4BC">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2518759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700850C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E159EF">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44802D">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D6ABDB">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722A0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F75AB5">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1</w:t>
            </w:r>
          </w:p>
        </w:tc>
      </w:tr>
      <w:tr w14:paraId="71B1F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2E3D087">
            <w:pPr>
              <w:widowControl/>
              <w:shd w:val="clear"/>
              <w:jc w:val="left"/>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665BD071">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5B5986">
            <w:pPr>
              <w:widowControl/>
              <w:shd w:val="clear"/>
              <w:jc w:val="center"/>
              <w:rPr>
                <w:rFonts w:ascii="仿宋_GB2312" w:hAnsi="Times New Roman" w:eastAsia="仿宋_GB2312" w:cs="Times New Roman"/>
                <w:color w:val="000000"/>
                <w:sz w:val="24"/>
                <w:szCs w:val="24"/>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1473F9">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FB4B2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99A44E">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565E38">
            <w:pPr>
              <w:widowControl/>
              <w:shd w:val="clear"/>
              <w:jc w:val="center"/>
              <w:rPr>
                <w:rFonts w:hint="eastAsia" w:ascii="仿宋_GB2312" w:hAnsi="Times New Roman" w:eastAsia="仿宋_GB2312" w:cs="Times New Roman"/>
                <w:color w:val="000000"/>
                <w:sz w:val="24"/>
                <w:szCs w:val="24"/>
                <w:lang w:val="en-US" w:eastAsia="zh-CN"/>
              </w:rPr>
            </w:pPr>
            <w:r>
              <w:rPr>
                <w:rFonts w:hint="eastAsia" w:ascii="Calibri" w:hAnsi="Calibri" w:eastAsia="仿宋_GB2312" w:cs="Calibri"/>
                <w:color w:val="000000"/>
                <w:kern w:val="0"/>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2046F7">
            <w:pPr>
              <w:shd w:val="clea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14:paraId="29B7540F">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60" w:lineRule="exact"/>
        <w:ind w:firstLine="321" w:firstLineChars="100"/>
        <w:jc w:val="both"/>
        <w:textAlignment w:val="auto"/>
        <w:rPr>
          <w:rFonts w:ascii="宋体" w:hAnsi="宋体" w:eastAsia="宋体" w:cs="宋体"/>
          <w:color w:val="000000"/>
          <w:sz w:val="32"/>
          <w:szCs w:val="32"/>
        </w:rPr>
      </w:pPr>
      <w:r>
        <w:rPr>
          <w:rFonts w:hint="eastAsia" w:ascii="黑体" w:hAnsi="黑体" w:eastAsia="黑体" w:cs="黑体"/>
          <w:b/>
          <w:color w:val="000000"/>
          <w:kern w:val="0"/>
          <w:sz w:val="32"/>
          <w:szCs w:val="32"/>
          <w:shd w:val="clear" w:color="auto" w:fill="FFFFFF"/>
          <w:lang w:val="en-US" w:eastAsia="zh-CN" w:bidi="ar-SA"/>
        </w:rPr>
        <w:t>四、政府信息公开行政复议、行政诉讼情况</w:t>
      </w:r>
    </w:p>
    <w:tbl>
      <w:tblPr>
        <w:tblStyle w:val="5"/>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449C6F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890349">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23DEBB">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行政诉讼</w:t>
            </w:r>
          </w:p>
        </w:tc>
      </w:tr>
      <w:tr w14:paraId="5C8EE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410B7C0">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D3CA460">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结果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3145B9E">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其他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61E439">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尚未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457E0E">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AF5D62">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21F27C">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复议后起诉</w:t>
            </w:r>
          </w:p>
        </w:tc>
      </w:tr>
      <w:tr w14:paraId="6F1684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E3CFC9E">
            <w:pPr>
              <w:shd w:val="clea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0549596">
            <w:pPr>
              <w:shd w:val="clea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25153D">
            <w:pPr>
              <w:shd w:val="clea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5B2607">
            <w:pPr>
              <w:shd w:val="clea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193582">
            <w:pPr>
              <w:shd w:val="clea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16A41B9">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结果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9A19781">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结果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477B19">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其他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D6CB90">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尚未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8596D5">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8CF5B7">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结果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EAE869">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结果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240696">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其他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0846FB">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尚未</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12E34B">
            <w:pPr>
              <w:widowControl/>
              <w:shd w:val="clear"/>
              <w:jc w:val="center"/>
              <w:rPr>
                <w:rFonts w:ascii="仿宋_GB2312" w:hAnsi="Times New Roman" w:eastAsia="仿宋_GB2312" w:cs="Times New Roman"/>
                <w:color w:val="000000"/>
                <w:sz w:val="24"/>
                <w:szCs w:val="24"/>
              </w:rPr>
            </w:pPr>
            <w:r>
              <w:rPr>
                <w:rFonts w:hint="eastAsia" w:ascii="宋体" w:hAnsi="宋体" w:eastAsia="宋体" w:cs="宋体"/>
                <w:color w:val="000000"/>
                <w:kern w:val="0"/>
                <w:sz w:val="24"/>
                <w:szCs w:val="24"/>
              </w:rPr>
              <w:t>总计</w:t>
            </w:r>
          </w:p>
        </w:tc>
      </w:tr>
      <w:tr w14:paraId="76233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2941B33">
            <w:pPr>
              <w:widowControl/>
              <w:shd w:val="clear"/>
              <w:jc w:val="center"/>
              <w:rPr>
                <w:rFonts w:hint="eastAsia" w:ascii="仿宋_GB2312" w:hAnsi="Times New Roman" w:eastAsia="黑体" w:cs="Times New Roman"/>
                <w:color w:val="000000"/>
                <w:sz w:val="24"/>
                <w:szCs w:val="24"/>
                <w:lang w:val="en-US" w:eastAsia="zh-CN"/>
              </w:rPr>
            </w:pPr>
            <w:r>
              <w:rPr>
                <w:rFonts w:hint="eastAsia" w:ascii="黑体" w:hAnsi="宋体" w:eastAsia="黑体" w:cs="黑体"/>
                <w:color w:val="000000"/>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3034303">
            <w:pPr>
              <w:widowControl/>
              <w:shd w:val="clear"/>
              <w:jc w:val="center"/>
              <w:rPr>
                <w:rFonts w:ascii="仿宋_GB2312" w:hAnsi="Times New Roman" w:eastAsia="仿宋_GB2312" w:cs="Times New Roman"/>
                <w:color w:val="000000"/>
                <w:sz w:val="24"/>
                <w:szCs w:val="24"/>
              </w:rPr>
            </w:pPr>
            <w:r>
              <w:rPr>
                <w:rFonts w:hint="eastAsia" w:ascii="黑体" w:hAnsi="宋体" w:eastAsia="黑体" w:cs="黑体"/>
                <w:color w:val="000000"/>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81F6011">
            <w:pPr>
              <w:widowControl/>
              <w:shd w:val="clear"/>
              <w:jc w:val="center"/>
              <w:rPr>
                <w:rFonts w:hint="eastAsia" w:ascii="仿宋_GB2312" w:hAnsi="Times New Roman" w:eastAsia="黑体" w:cs="Times New Roman"/>
                <w:color w:val="000000"/>
                <w:sz w:val="24"/>
                <w:szCs w:val="24"/>
                <w:lang w:val="en-US" w:eastAsia="zh-CN"/>
              </w:rPr>
            </w:pPr>
            <w:r>
              <w:rPr>
                <w:rFonts w:hint="eastAsia" w:ascii="黑体" w:hAnsi="宋体" w:eastAsia="黑体" w:cs="黑体"/>
                <w:color w:val="000000"/>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8932FCE">
            <w:pPr>
              <w:widowControl/>
              <w:shd w:val="clear"/>
              <w:jc w:val="center"/>
              <w:rPr>
                <w:rFonts w:ascii="仿宋_GB2312" w:hAnsi="Times New Roman" w:eastAsia="仿宋_GB2312" w:cs="Times New Roman"/>
                <w:color w:val="000000"/>
                <w:sz w:val="24"/>
                <w:szCs w:val="24"/>
              </w:rPr>
            </w:pPr>
            <w:r>
              <w:rPr>
                <w:rFonts w:hint="eastAsia" w:ascii="黑体" w:hAnsi="宋体" w:eastAsia="黑体" w:cs="黑体"/>
                <w:color w:val="000000"/>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6A7DBC5">
            <w:pPr>
              <w:widowControl/>
              <w:shd w:val="clear"/>
              <w:jc w:val="center"/>
              <w:rPr>
                <w:rFonts w:ascii="仿宋_GB2312" w:hAnsi="Times New Roman" w:eastAsia="仿宋_GB2312" w:cs="Times New Roman"/>
                <w:color w:val="000000"/>
                <w:sz w:val="24"/>
                <w:szCs w:val="24"/>
              </w:rPr>
            </w:pPr>
            <w:r>
              <w:rPr>
                <w:rFonts w:hint="eastAsia" w:ascii="黑体" w:hAnsi="宋体" w:eastAsia="黑体" w:cs="黑体"/>
                <w:color w:val="000000"/>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F7F3DE1">
            <w:pPr>
              <w:widowControl/>
              <w:shd w:val="clear"/>
              <w:jc w:val="center"/>
              <w:rPr>
                <w:rFonts w:ascii="仿宋_GB2312" w:hAnsi="Times New Roman" w:eastAsia="仿宋_GB2312" w:cs="Times New Roman"/>
                <w:color w:val="000000"/>
                <w:sz w:val="24"/>
                <w:szCs w:val="24"/>
              </w:rPr>
            </w:pPr>
            <w:r>
              <w:rPr>
                <w:rFonts w:hint="eastAsia" w:ascii="黑体" w:hAnsi="宋体" w:eastAsia="黑体" w:cs="黑体"/>
                <w:color w:val="000000"/>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61B64B8">
            <w:pPr>
              <w:widowControl/>
              <w:shd w:val="clear"/>
              <w:jc w:val="center"/>
              <w:rPr>
                <w:rFonts w:hint="eastAsia" w:ascii="仿宋_GB2312" w:hAnsi="Times New Roman" w:eastAsia="黑体" w:cs="Times New Roman"/>
                <w:color w:val="000000"/>
                <w:sz w:val="24"/>
                <w:szCs w:val="24"/>
                <w:lang w:val="en-US" w:eastAsia="zh-CN"/>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7F70067">
            <w:pPr>
              <w:widowControl/>
              <w:shd w:val="clear"/>
              <w:jc w:val="center"/>
              <w:rPr>
                <w:rFonts w:ascii="仿宋_GB2312" w:hAnsi="Times New Roman" w:eastAsia="仿宋_GB2312" w:cs="Times New Roman"/>
                <w:color w:val="000000"/>
                <w:sz w:val="24"/>
                <w:szCs w:val="24"/>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C2788CE">
            <w:pPr>
              <w:widowControl/>
              <w:shd w:val="clear"/>
              <w:jc w:val="center"/>
              <w:rPr>
                <w:rFonts w:hint="eastAsia" w:ascii="仿宋_GB2312" w:hAnsi="Times New Roman" w:eastAsia="仿宋_GB2312" w:cs="Times New Roman"/>
                <w:color w:val="000000"/>
                <w:sz w:val="24"/>
                <w:szCs w:val="24"/>
                <w:lang w:val="en-US" w:eastAsia="zh-CN"/>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06E5B7C">
            <w:pPr>
              <w:widowControl/>
              <w:shd w:val="clear"/>
              <w:jc w:val="center"/>
              <w:rPr>
                <w:rFonts w:ascii="仿宋_GB2312" w:hAnsi="Times New Roman" w:eastAsia="仿宋_GB2312" w:cs="Times New Roman"/>
                <w:color w:val="000000"/>
                <w:sz w:val="24"/>
                <w:szCs w:val="24"/>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3D62A2F">
            <w:pPr>
              <w:widowControl/>
              <w:shd w:val="clear"/>
              <w:jc w:val="center"/>
              <w:rPr>
                <w:rFonts w:hint="eastAsia" w:ascii="仿宋_GB2312" w:hAnsi="Times New Roman" w:eastAsia="黑体" w:cs="Times New Roman"/>
                <w:color w:val="000000"/>
                <w:sz w:val="24"/>
                <w:szCs w:val="24"/>
                <w:lang w:val="en-US" w:eastAsia="zh-CN"/>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4A3944">
            <w:pPr>
              <w:widowControl/>
              <w:shd w:val="clear"/>
              <w:jc w:val="center"/>
              <w:rPr>
                <w:rFonts w:hint="eastAsia" w:ascii="仿宋_GB2312" w:hAnsi="Times New Roman" w:eastAsia="黑体" w:cs="Times New Roman"/>
                <w:color w:val="000000"/>
                <w:sz w:val="24"/>
                <w:szCs w:val="24"/>
                <w:lang w:val="en-US" w:eastAsia="zh-CN"/>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DC05741">
            <w:pPr>
              <w:widowControl/>
              <w:shd w:val="clear"/>
              <w:jc w:val="center"/>
              <w:rPr>
                <w:rFonts w:ascii="仿宋_GB2312" w:hAnsi="Times New Roman" w:eastAsia="仿宋_GB2312" w:cs="Times New Roman"/>
                <w:color w:val="000000"/>
                <w:sz w:val="24"/>
                <w:szCs w:val="24"/>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13D8D8B">
            <w:pPr>
              <w:widowControl/>
              <w:shd w:val="clear"/>
              <w:jc w:val="center"/>
              <w:rPr>
                <w:rFonts w:hint="eastAsia" w:ascii="仿宋_GB2312" w:hAnsi="Times New Roman" w:eastAsia="黑体" w:cs="Times New Roman"/>
                <w:color w:val="000000"/>
                <w:sz w:val="24"/>
                <w:szCs w:val="24"/>
                <w:lang w:val="en-US" w:eastAsia="zh-CN"/>
              </w:rPr>
            </w:pPr>
            <w:r>
              <w:rPr>
                <w:rFonts w:hint="eastAsia" w:ascii="黑体" w:hAnsi="宋体" w:eastAsia="黑体" w:cs="黑体"/>
                <w:color w:val="000000"/>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73E7639">
            <w:pPr>
              <w:shd w:val="clea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14:paraId="178466E7">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60" w:lineRule="exact"/>
        <w:ind w:firstLine="420"/>
        <w:jc w:val="both"/>
        <w:textAlignment w:val="auto"/>
        <w:rPr>
          <w:rFonts w:hint="eastAsia" w:ascii="黑体" w:hAnsi="黑体" w:eastAsia="黑体" w:cs="黑体"/>
          <w:b/>
          <w:color w:val="000000"/>
          <w:kern w:val="0"/>
          <w:sz w:val="32"/>
          <w:szCs w:val="32"/>
          <w:shd w:val="clear" w:color="auto" w:fill="FFFFFF"/>
          <w:lang w:val="en-US" w:eastAsia="zh-CN" w:bidi="ar-SA"/>
        </w:rPr>
      </w:pPr>
      <w:r>
        <w:rPr>
          <w:rFonts w:hint="eastAsia" w:ascii="黑体" w:hAnsi="黑体" w:eastAsia="黑体" w:cs="黑体"/>
          <w:b/>
          <w:color w:val="000000"/>
          <w:kern w:val="0"/>
          <w:sz w:val="32"/>
          <w:szCs w:val="32"/>
          <w:shd w:val="clear" w:color="auto" w:fill="FFFFFF"/>
          <w:lang w:val="en-US" w:eastAsia="zh-CN" w:bidi="ar-SA"/>
        </w:rPr>
        <w:t>五、存在的主要问题及改进情况</w:t>
      </w:r>
    </w:p>
    <w:p w14:paraId="74518F8A">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上年改进情况：我局积极采取改进措施，着力优化公开内容结构、丰富信息呈现形式：一是持续拓宽公开内容。在做好统计数据发布与分析解读的基础上，加大统计工作动态信息的整理与公开力度，主动公开统计调研、工作部署、业务培训、普法宣传等工作推进情况，并注重挖掘和展示统计文化建设相关活动和成果，力求更全面、立体地反映统计工作实际，增进社会公众对我县统计工作的了解与认同；二是积极探索形式创新。在依托政府网站公开主渠道的同时，拓展政务新媒体平台应用，通过图文、图表、问答等形式增强信息可读性。结合“统计开放日”“统计知识进基层”等活动开展线下宣传解读，并探索制作通俗易懂的统计科普产品，推动信息公开方式更接地气、更富实效，提升公众获取信息的便利度和体验感。</w:t>
      </w:r>
    </w:p>
    <w:p w14:paraId="6DD0395A">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本年存在问题：信息公开常态化维护机制有待健全。目前部分栏目与内容的更新仍存在一定的滞后性，未能完全形成稳定、及时的动态更新机制；对已公开信息的后续维护、定期梳理与归档管理也需进一步规范，尚未建立起系统化的信息生命周期管理流程，可能影响公开信息的连续性、完整性和长期可利用性。</w:t>
      </w:r>
    </w:p>
    <w:p w14:paraId="5A20F2BA">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下一步改进举措：一是建立健全定期更新与责任落实机制。制定并实施信息公开各栏目动态维护清单，明确更新频率、责任股室与具体责任人，将定期更新情况纳入内部日常监督与考核，确保栏目内容持续、稳定、及时更新；二是规范全生命周期信息管理流程。完善从信息生成、审核、发布到后期维护、定期评估、归档管理的全流程操作规范。建立已公开信息定期核查制度，对时效性内容及时标注或归档，对失效、废止信息进行清理或说明，保障信息的准确性与可用性；三是强化技术支撑与台账管理。优化信息公开平台后台管理功能，设置更新提醒与台账记录。建立健全信息公开电子台账，完整记录信息发布、调整、废止等关键节点，实现信息维护过程可追溯、管理可闭环，提升工作的规范性与系统性。</w:t>
      </w:r>
    </w:p>
    <w:p w14:paraId="50B92585">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660" w:lineRule="exact"/>
        <w:ind w:firstLine="420"/>
        <w:jc w:val="both"/>
        <w:textAlignment w:val="auto"/>
        <w:rPr>
          <w:rFonts w:ascii="宋体" w:hAnsi="宋体" w:eastAsia="宋体" w:cs="宋体"/>
          <w:color w:val="000000"/>
          <w:kern w:val="0"/>
          <w:sz w:val="32"/>
          <w:szCs w:val="32"/>
          <w:lang w:val="en-US" w:eastAsia="zh-CN" w:bidi="ar-SA"/>
        </w:rPr>
      </w:pPr>
      <w:r>
        <w:rPr>
          <w:rFonts w:hint="eastAsia" w:ascii="黑体" w:hAnsi="黑体" w:eastAsia="黑体" w:cs="黑体"/>
          <w:b/>
          <w:color w:val="000000"/>
          <w:kern w:val="0"/>
          <w:sz w:val="32"/>
          <w:szCs w:val="32"/>
          <w:shd w:val="clear" w:color="auto" w:fill="FFFFFF"/>
          <w:lang w:val="en-US" w:eastAsia="zh-CN" w:bidi="ar-SA"/>
        </w:rPr>
        <w:t>六、其他需要报告的事项</w:t>
      </w:r>
    </w:p>
    <w:p w14:paraId="1EE533B1">
      <w:pPr>
        <w:keepNext w:val="0"/>
        <w:keepLines w:val="0"/>
        <w:pageBreakBefore w:val="0"/>
        <w:widowControl/>
        <w:shd w:val="clear"/>
        <w:kinsoku/>
        <w:wordWrap/>
        <w:overflowPunct/>
        <w:topLinePunct w:val="0"/>
        <w:autoSpaceDE/>
        <w:autoSpaceDN/>
        <w:bidi w:val="0"/>
        <w:adjustRightInd/>
        <w:snapToGrid/>
        <w:spacing w:line="560" w:lineRule="exact"/>
        <w:ind w:firstLine="482"/>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按照《国务院办公厅关于印发〈政府信息公开信息处理费管理办法〉的通知》（国办函〔2020〕109号）规定的按件、按量收费标准，本年度没有产生信息公开处理费。</w:t>
      </w:r>
    </w:p>
    <w:sectPr>
      <w:footerReference r:id="rId3" w:type="default"/>
      <w:footerReference r:id="rId4" w:type="even"/>
      <w:pgSz w:w="11906" w:h="16838"/>
      <w:pgMar w:top="2098" w:right="1474" w:bottom="1984" w:left="1588" w:header="851" w:footer="1020"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20C7">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84D51CC">
                          <w:pPr>
                            <w:widowControl w:val="0"/>
                            <w:tabs>
                              <w:tab w:val="center" w:pos="4153"/>
                              <w:tab w:val="right" w:pos="8306"/>
                            </w:tabs>
                            <w:snapToGrid w:val="0"/>
                            <w:jc w:val="right"/>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fldChar w:fldCharType="begin"/>
                          </w:r>
                          <w:r>
                            <w:rPr>
                              <w:rFonts w:hint="eastAsia" w:asciiTheme="majorEastAsia" w:hAnsiTheme="majorEastAsia" w:eastAsiaTheme="majorEastAsia" w:cstheme="majorEastAsia"/>
                              <w:kern w:val="2"/>
                              <w:sz w:val="28"/>
                              <w:szCs w:val="28"/>
                              <w:lang w:val="en-US" w:eastAsia="zh-CN" w:bidi="ar-SA"/>
                            </w:rPr>
                            <w:instrText xml:space="preserve"> PAGE  \* MERGEFORMAT </w:instrText>
                          </w:r>
                          <w:r>
                            <w:rPr>
                              <w:rFonts w:hint="eastAsia" w:asciiTheme="majorEastAsia" w:hAnsiTheme="majorEastAsia" w:eastAsiaTheme="majorEastAsia" w:cstheme="majorEastAsia"/>
                              <w:kern w:val="2"/>
                              <w:sz w:val="28"/>
                              <w:szCs w:val="28"/>
                              <w:lang w:val="en-US" w:eastAsia="zh-CN" w:bidi="ar-SA"/>
                            </w:rPr>
                            <w:fldChar w:fldCharType="separate"/>
                          </w:r>
                          <w:r>
                            <w:rPr>
                              <w:rFonts w:hint="eastAsia" w:asciiTheme="majorEastAsia" w:hAnsiTheme="majorEastAsia" w:eastAsiaTheme="majorEastAsia" w:cstheme="majorEastAsia"/>
                              <w:kern w:val="2"/>
                              <w:sz w:val="28"/>
                              <w:szCs w:val="28"/>
                              <w:lang w:val="en-US" w:eastAsia="zh-CN" w:bidi="ar-SA"/>
                            </w:rPr>
                            <w:t>2</w:t>
                          </w:r>
                          <w:r>
                            <w:rPr>
                              <w:rFonts w:hint="eastAsia" w:asciiTheme="majorEastAsia" w:hAnsiTheme="majorEastAsia" w:eastAsiaTheme="majorEastAsia" w:cstheme="majorEastAsia"/>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5Zku0BAADV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4d12/ugdm1ewDQQ+Hf7iAQy&#10;rzTG0Bv1SA7edlZm3My0Tv/7OevxNa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eTlmS&#10;7QEAANUDAAAOAAAAAAAAAAEAIAAAAB4BAABkcnMvZTJvRG9jLnhtbFBLBQYAAAAABgAGAFkBAAB9&#10;BQAAAAA=&#10;">
              <v:fill on="f" focussize="0,0"/>
              <v:stroke on="f"/>
              <v:imagedata o:title=""/>
              <o:lock v:ext="edit" aspectratio="f"/>
              <v:textbox inset="0mm,0mm,0mm,0mm" style="mso-fit-shape-to-text:t;">
                <w:txbxContent>
                  <w:p w14:paraId="684D51CC">
                    <w:pPr>
                      <w:widowControl w:val="0"/>
                      <w:tabs>
                        <w:tab w:val="center" w:pos="4153"/>
                        <w:tab w:val="right" w:pos="8306"/>
                      </w:tabs>
                      <w:snapToGrid w:val="0"/>
                      <w:jc w:val="right"/>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fldChar w:fldCharType="begin"/>
                    </w:r>
                    <w:r>
                      <w:rPr>
                        <w:rFonts w:hint="eastAsia" w:asciiTheme="majorEastAsia" w:hAnsiTheme="majorEastAsia" w:eastAsiaTheme="majorEastAsia" w:cstheme="majorEastAsia"/>
                        <w:kern w:val="2"/>
                        <w:sz w:val="28"/>
                        <w:szCs w:val="28"/>
                        <w:lang w:val="en-US" w:eastAsia="zh-CN" w:bidi="ar-SA"/>
                      </w:rPr>
                      <w:instrText xml:space="preserve"> PAGE  \* MERGEFORMAT </w:instrText>
                    </w:r>
                    <w:r>
                      <w:rPr>
                        <w:rFonts w:hint="eastAsia" w:asciiTheme="majorEastAsia" w:hAnsiTheme="majorEastAsia" w:eastAsiaTheme="majorEastAsia" w:cstheme="majorEastAsia"/>
                        <w:kern w:val="2"/>
                        <w:sz w:val="28"/>
                        <w:szCs w:val="28"/>
                        <w:lang w:val="en-US" w:eastAsia="zh-CN" w:bidi="ar-SA"/>
                      </w:rPr>
                      <w:fldChar w:fldCharType="separate"/>
                    </w:r>
                    <w:r>
                      <w:rPr>
                        <w:rFonts w:hint="eastAsia" w:asciiTheme="majorEastAsia" w:hAnsiTheme="majorEastAsia" w:eastAsiaTheme="majorEastAsia" w:cstheme="majorEastAsia"/>
                        <w:kern w:val="2"/>
                        <w:sz w:val="28"/>
                        <w:szCs w:val="28"/>
                        <w:lang w:val="en-US" w:eastAsia="zh-CN" w:bidi="ar-SA"/>
                      </w:rPr>
                      <w:t>2</w:t>
                    </w:r>
                    <w:r>
                      <w:rPr>
                        <w:rFonts w:hint="eastAsia" w:asciiTheme="majorEastAsia" w:hAnsiTheme="majorEastAsia" w:eastAsiaTheme="majorEastAsia" w:cstheme="majorEastAsia"/>
                        <w:kern w:val="2"/>
                        <w:sz w:val="28"/>
                        <w:szCs w:val="28"/>
                        <w:lang w:val="en-US" w:eastAsia="zh-CN" w:bidi="ar-SA"/>
                      </w:rPr>
                      <w:fldChar w:fldCharType="end"/>
                    </w:r>
                  </w:p>
                </w:txbxContent>
              </v:textbox>
            </v:shape>
          </w:pict>
        </mc:Fallback>
      </mc:AlternateContent>
    </w:r>
  </w:p>
  <w:p w14:paraId="2A442F57">
    <w:pPr>
      <w:rPr>
        <w:rFonts w:ascii="仿宋_GB2312" w:hAnsi="Times New Roman" w:eastAsia="仿宋_GB2312" w:cs="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B631">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2F2C51">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waO0BAADVAwAADgAAAGRycy9lMm9Eb2MueG1srVNLbtswEN0XyB0I&#10;7mMpBt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V5RYbvDCj79+Hn//Pf75&#10;Qa6SPJ0PFWbdecyL/XvX49JM5wEPE+u+AZP+yIdgHMU9nMSVfSQiFS3mi0WJIYGxyUH84qncQ4gf&#10;pTMkGYwC3l4Wle8/hzikTimpm3W3Sut8g9qSjtF3l/PL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ART/Bo&#10;7QEAANUDAAAOAAAAAAAAAAEAIAAAAB4BAABkcnMvZTJvRG9jLnhtbFBLBQYAAAAABgAGAFkBAAB9&#10;BQAAAAA=&#10;">
              <v:fill on="f" focussize="0,0"/>
              <v:stroke on="f"/>
              <v:imagedata o:title=""/>
              <o:lock v:ext="edit" aspectratio="f"/>
              <v:textbox inset="0mm,0mm,0mm,0mm" style="mso-fit-shape-to-text:t;">
                <w:txbxContent>
                  <w:p w14:paraId="382F2C51">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p w14:paraId="38F8D623">
    <w:pPr>
      <w:rPr>
        <w:rFonts w:ascii="仿宋_GB2312" w:hAnsi="Times New Roman" w:eastAsia="仿宋_GB2312" w:cs="Times New Roman"/>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2VlMDExYTg5MGU3ODAzZGE1ZWMwN2ZiOTJiMDkifQ=="/>
  </w:docVars>
  <w:rsids>
    <w:rsidRoot w:val="00000000"/>
    <w:rsid w:val="004D52E6"/>
    <w:rsid w:val="008F7A4A"/>
    <w:rsid w:val="01145609"/>
    <w:rsid w:val="013435B5"/>
    <w:rsid w:val="017E2A82"/>
    <w:rsid w:val="01BB5A85"/>
    <w:rsid w:val="03253AFD"/>
    <w:rsid w:val="04114082"/>
    <w:rsid w:val="04447FB3"/>
    <w:rsid w:val="053E2C54"/>
    <w:rsid w:val="05500BDA"/>
    <w:rsid w:val="075524D7"/>
    <w:rsid w:val="075C1AB8"/>
    <w:rsid w:val="084A5DB4"/>
    <w:rsid w:val="0C6E02C3"/>
    <w:rsid w:val="0CA37841"/>
    <w:rsid w:val="0D1A3FA7"/>
    <w:rsid w:val="0D932AA0"/>
    <w:rsid w:val="0D996F38"/>
    <w:rsid w:val="0DE545B5"/>
    <w:rsid w:val="0E066951"/>
    <w:rsid w:val="0F474DB6"/>
    <w:rsid w:val="0F9A4F2B"/>
    <w:rsid w:val="0FBF0E36"/>
    <w:rsid w:val="11001706"/>
    <w:rsid w:val="12E50BB3"/>
    <w:rsid w:val="149E54BE"/>
    <w:rsid w:val="150317C5"/>
    <w:rsid w:val="157E709D"/>
    <w:rsid w:val="16C947FF"/>
    <w:rsid w:val="16D3483C"/>
    <w:rsid w:val="16E86EC4"/>
    <w:rsid w:val="17DE401F"/>
    <w:rsid w:val="18BA47B6"/>
    <w:rsid w:val="19404D95"/>
    <w:rsid w:val="198A6011"/>
    <w:rsid w:val="19B72AEF"/>
    <w:rsid w:val="1C113ADB"/>
    <w:rsid w:val="1CB02232"/>
    <w:rsid w:val="1D44297A"/>
    <w:rsid w:val="1D5C0A91"/>
    <w:rsid w:val="1DEF0B38"/>
    <w:rsid w:val="1F3A2287"/>
    <w:rsid w:val="1F7807AF"/>
    <w:rsid w:val="204860A5"/>
    <w:rsid w:val="20493E52"/>
    <w:rsid w:val="21D70B44"/>
    <w:rsid w:val="223905D4"/>
    <w:rsid w:val="23D20CE0"/>
    <w:rsid w:val="25DF76E4"/>
    <w:rsid w:val="262619C5"/>
    <w:rsid w:val="263A4D10"/>
    <w:rsid w:val="26E478D6"/>
    <w:rsid w:val="28AE0B59"/>
    <w:rsid w:val="29157BDF"/>
    <w:rsid w:val="296A3769"/>
    <w:rsid w:val="2B65068C"/>
    <w:rsid w:val="2C3103C0"/>
    <w:rsid w:val="2C4B7881"/>
    <w:rsid w:val="2DE57862"/>
    <w:rsid w:val="306063E8"/>
    <w:rsid w:val="30F5334F"/>
    <w:rsid w:val="31BB2FA6"/>
    <w:rsid w:val="32454D73"/>
    <w:rsid w:val="32C263C3"/>
    <w:rsid w:val="330B38C7"/>
    <w:rsid w:val="33501C21"/>
    <w:rsid w:val="34413B35"/>
    <w:rsid w:val="34A210D7"/>
    <w:rsid w:val="34C12DD7"/>
    <w:rsid w:val="34F32C75"/>
    <w:rsid w:val="35971207"/>
    <w:rsid w:val="3616178C"/>
    <w:rsid w:val="36767A4E"/>
    <w:rsid w:val="375A10AA"/>
    <w:rsid w:val="37DF3E15"/>
    <w:rsid w:val="381E5E4A"/>
    <w:rsid w:val="3845787B"/>
    <w:rsid w:val="39732EB8"/>
    <w:rsid w:val="3ACE10DF"/>
    <w:rsid w:val="3B334302"/>
    <w:rsid w:val="3B762441"/>
    <w:rsid w:val="3BBF16F2"/>
    <w:rsid w:val="3C187054"/>
    <w:rsid w:val="3CDE4F0E"/>
    <w:rsid w:val="3DBF00CF"/>
    <w:rsid w:val="3FC92B3F"/>
    <w:rsid w:val="403C77B5"/>
    <w:rsid w:val="41594397"/>
    <w:rsid w:val="41E06866"/>
    <w:rsid w:val="425A539A"/>
    <w:rsid w:val="42674891"/>
    <w:rsid w:val="42C10446"/>
    <w:rsid w:val="430E62A6"/>
    <w:rsid w:val="43672D9B"/>
    <w:rsid w:val="43BD44ED"/>
    <w:rsid w:val="44472BCC"/>
    <w:rsid w:val="446C1DDA"/>
    <w:rsid w:val="452D591E"/>
    <w:rsid w:val="45983559"/>
    <w:rsid w:val="467F664E"/>
    <w:rsid w:val="47D26C51"/>
    <w:rsid w:val="484C7D5F"/>
    <w:rsid w:val="484E4529"/>
    <w:rsid w:val="48FB5D34"/>
    <w:rsid w:val="4A81671E"/>
    <w:rsid w:val="4AD11442"/>
    <w:rsid w:val="4B0B6702"/>
    <w:rsid w:val="4B125CE2"/>
    <w:rsid w:val="4B86222C"/>
    <w:rsid w:val="4CDC403F"/>
    <w:rsid w:val="4E65488B"/>
    <w:rsid w:val="4F1A0776"/>
    <w:rsid w:val="4F5368C9"/>
    <w:rsid w:val="4FAE1D52"/>
    <w:rsid w:val="514B7A4F"/>
    <w:rsid w:val="51BB48D4"/>
    <w:rsid w:val="520E6AD8"/>
    <w:rsid w:val="52263E21"/>
    <w:rsid w:val="52C51F0E"/>
    <w:rsid w:val="52EA3518"/>
    <w:rsid w:val="550E6E41"/>
    <w:rsid w:val="55B6370E"/>
    <w:rsid w:val="565C42B5"/>
    <w:rsid w:val="56D77998"/>
    <w:rsid w:val="575C5F6D"/>
    <w:rsid w:val="584A7449"/>
    <w:rsid w:val="5987789B"/>
    <w:rsid w:val="5A862E7C"/>
    <w:rsid w:val="5A9F6E67"/>
    <w:rsid w:val="5B53091F"/>
    <w:rsid w:val="5CAC6D2A"/>
    <w:rsid w:val="5E2D6537"/>
    <w:rsid w:val="5EB86749"/>
    <w:rsid w:val="5F904FD0"/>
    <w:rsid w:val="60561D75"/>
    <w:rsid w:val="612730A7"/>
    <w:rsid w:val="614736D5"/>
    <w:rsid w:val="61744FEB"/>
    <w:rsid w:val="61D7040C"/>
    <w:rsid w:val="621E0449"/>
    <w:rsid w:val="624C78D4"/>
    <w:rsid w:val="62EC4C13"/>
    <w:rsid w:val="635D3600"/>
    <w:rsid w:val="6430510D"/>
    <w:rsid w:val="647A7B1F"/>
    <w:rsid w:val="64BE438D"/>
    <w:rsid w:val="64DA6FDE"/>
    <w:rsid w:val="65D93FC3"/>
    <w:rsid w:val="668D30D8"/>
    <w:rsid w:val="67CE1AF2"/>
    <w:rsid w:val="67D6379C"/>
    <w:rsid w:val="683E4ABF"/>
    <w:rsid w:val="68975621"/>
    <w:rsid w:val="68C82EF0"/>
    <w:rsid w:val="69382960"/>
    <w:rsid w:val="69821E2D"/>
    <w:rsid w:val="6A1A2066"/>
    <w:rsid w:val="6A1F767C"/>
    <w:rsid w:val="6A94006A"/>
    <w:rsid w:val="6AF94E63"/>
    <w:rsid w:val="6B471B26"/>
    <w:rsid w:val="6BCF226E"/>
    <w:rsid w:val="6C841A18"/>
    <w:rsid w:val="6C847C6A"/>
    <w:rsid w:val="6CD176D0"/>
    <w:rsid w:val="6CEA1A52"/>
    <w:rsid w:val="6D301BA0"/>
    <w:rsid w:val="6DC85068"/>
    <w:rsid w:val="6EA96D85"/>
    <w:rsid w:val="6EF016FB"/>
    <w:rsid w:val="6F3911E0"/>
    <w:rsid w:val="6F6F075E"/>
    <w:rsid w:val="6FEC53A8"/>
    <w:rsid w:val="70531E2E"/>
    <w:rsid w:val="711F1C33"/>
    <w:rsid w:val="71706A0F"/>
    <w:rsid w:val="721359C7"/>
    <w:rsid w:val="72231CD3"/>
    <w:rsid w:val="72A5093A"/>
    <w:rsid w:val="7416389E"/>
    <w:rsid w:val="75932CCC"/>
    <w:rsid w:val="759A405B"/>
    <w:rsid w:val="76664987"/>
    <w:rsid w:val="76AB366D"/>
    <w:rsid w:val="770F1A0E"/>
    <w:rsid w:val="7792494C"/>
    <w:rsid w:val="78F22A35"/>
    <w:rsid w:val="7906568C"/>
    <w:rsid w:val="7AF81F4F"/>
    <w:rsid w:val="7E376793"/>
    <w:rsid w:val="7E9640E7"/>
    <w:rsid w:val="7EF42A2E"/>
    <w:rsid w:val="7F0A1287"/>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2184</Words>
  <Characters>2268</Characters>
  <Lines>0</Lines>
  <Paragraphs>0</Paragraphs>
  <TotalTime>3</TotalTime>
  <ScaleCrop>false</ScaleCrop>
  <LinksUpToDate>false</LinksUpToDate>
  <CharactersWithSpaces>2279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WPS_1757474155</cp:lastModifiedBy>
  <cp:lastPrinted>2026-01-20T08:45:00Z</cp:lastPrinted>
  <dcterms:modified xsi:type="dcterms:W3CDTF">2026-01-26T08:53:58Z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9F873DA3061C491EAABD876DBACDF263_13</vt:lpwstr>
  </property>
  <property fmtid="{D5CDD505-2E9C-101B-9397-08002B2CF9AE}" pid="4" name="KSOTemplateDocerSaveRecord">
    <vt:lpwstr>eyJoZGlkIjoiN2Q5NjY3NTQ3OGRjNDIyMmM0MGMwNWEwN2ZiOWM5ZjMiLCJ1c2VySWQiOiIxNzQxMjk5Mzg4In0=</vt:lpwstr>
  </property>
</Properties>
</file>