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9C953"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  <w:t>舒城县千人桥镇人民政府</w:t>
      </w:r>
    </w:p>
    <w:p w14:paraId="15EBE9F3"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  <w:t>2025年政府信息公开工作年度报告</w:t>
      </w:r>
    </w:p>
    <w:p w14:paraId="4B0CD43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</w:p>
    <w:p w14:paraId="554028F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本报告依据《中华人民共和国政府信息公开条例》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国务院令第711号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规定和《中华人民共和国政府信息公开工作年度报告格式的通知》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国办公开办函〔2021〕30号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及省市县各级政务公开办要求，结合有关统计数据和工作实际编制。全文包括总体情况，主动公开政府信息情况，收到和处理政府信息公开申请情况，政府信息公开行政复议、行政诉讼情况，存在的主要问题及改进情况以及其他需要报告的事项，所使用数据的统计期限自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年1月1日起至202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年12月31日止，如对本报告有任何疑问，请与舒城县千人桥镇人民政府联系。（地址：舒城县千人桥镇兴桥街30号；邮编：231320；联系电话：0564-8043007。）</w:t>
      </w:r>
    </w:p>
    <w:p w14:paraId="704FC6A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一、总体情况</w:t>
      </w:r>
    </w:p>
    <w:p w14:paraId="09271A3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一）主动公开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情况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。2025年，千人桥镇以习近平新时代中国特色社会主义思想为指导，紧扣“建设美丽鱼米之乡、打造特色旅游小镇”发展目标，将政府信息公开与中心工作深度融合，持续提升公开质量与实效。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主动公开各类政府信息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756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条，其中公开基础领域信息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396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条，两化领域信息公开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360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条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通过文字、视频、图片解读政策文件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 xml:space="preserve">条，常态化公开就业、住房、教育、医疗、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养老、社会保障、乡村振兴、惠民惠农资金发放等领域信息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财政专项资金发布信息1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54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条，惠农惠民资金专栏发布信息1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条，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应急管理39条，主动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回应群众关切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发布信息54条；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动态更新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履职事项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清单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推动行政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机关依法规范履职。</w:t>
      </w:r>
    </w:p>
    <w:p w14:paraId="14A90A3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（二）依申请公开。千人桥镇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规范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申请受理、审查、答复全流程管理，严格落实法定时限要求，保障公众依法获取政府信息的权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。全年共收到政府信息公开申请1件，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申请内容为申请村级财务公开，属于已公开事项，告知查看渠道。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无因政府信息公开工作被申请行政复议或提起行政诉讼的情况。</w:t>
      </w:r>
    </w:p>
    <w:p w14:paraId="4DD77EF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（三）政府信息管理。202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年，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千人桥镇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严格执行“三级审核”制度，完善保密审查机制，常态化梳理公开目录和事项清单，确保公开信息合法安全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及时清理已公开信息中的涉及泄露隐私信息及无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效冗余数据，切实提升政府信息“含金量”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。</w:t>
      </w:r>
    </w:p>
    <w:p w14:paraId="7A1CB0B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（四）政府信息公开平台建设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情况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。巩固政府网站、政务公开专区等传统渠道，拓展线上线下联动公开模式，提升政策解读和咨询服务水平。本年度累计为群众解答政策咨询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件，主要侧重于土地征收、医疗保险、社会保险、养老保险等与群众利益关系密切的急难愁盼问题。</w:t>
      </w:r>
    </w:p>
    <w:p w14:paraId="41FAD27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（五）监督保障。将信息公开工作纳入考核体系，畅通社会监督渠道，开展常态化指导检查，推动工作落地见效。本年度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未开展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社会评议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工作，无责任追究情况。</w:t>
      </w:r>
    </w:p>
    <w:p w14:paraId="1D7DA28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二、主动公开政府信息情况</w:t>
      </w:r>
    </w:p>
    <w:tbl>
      <w:tblPr>
        <w:tblStyle w:val="2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5C6F6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032E80E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第二十条第（一）项</w:t>
            </w:r>
          </w:p>
        </w:tc>
      </w:tr>
      <w:tr w14:paraId="0AE6A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ED93D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F3B17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31349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C5BB3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现行有效件数</w:t>
            </w:r>
          </w:p>
        </w:tc>
      </w:tr>
      <w:tr w14:paraId="4F6D1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F53A2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ABE93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F7A02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C6D6C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B6B9C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E4D3D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4A9BE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9E71B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6BCE7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48F4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34B91CD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第二十条第（五）项</w:t>
            </w:r>
          </w:p>
        </w:tc>
      </w:tr>
      <w:tr w14:paraId="0EC94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CB1ED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2D42ED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本年处理决定数量</w:t>
            </w:r>
          </w:p>
        </w:tc>
      </w:tr>
      <w:tr w14:paraId="695B2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DC0C78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9081E2">
            <w:pPr>
              <w:widowControl/>
              <w:jc w:val="center"/>
              <w:rPr>
                <w:rFonts w:hint="default" w:ascii="仿宋_GB2312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</w:tr>
      <w:tr w14:paraId="270AA8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38E2E44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第二十条第（六）项</w:t>
            </w:r>
          </w:p>
        </w:tc>
      </w:tr>
      <w:tr w14:paraId="1D56B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C7EF6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5D851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本年处理决定数量</w:t>
            </w:r>
          </w:p>
        </w:tc>
      </w:tr>
      <w:tr w14:paraId="2471C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42A24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D85EE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5995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40A17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6BB70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64AB5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11A2639A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第二十条第（八）项</w:t>
            </w:r>
          </w:p>
        </w:tc>
      </w:tr>
      <w:tr w14:paraId="40098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AF20E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5B02AF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本年收费金额（单位：万元）</w:t>
            </w:r>
          </w:p>
        </w:tc>
      </w:tr>
      <w:tr w14:paraId="126DD6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7F540C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2F24792A">
            <w:pPr>
              <w:jc w:val="center"/>
              <w:rPr>
                <w:rFonts w:hint="eastAsia" w:ascii="宋体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</w:tbl>
    <w:p w14:paraId="49B6976C">
      <w:pPr>
        <w:keepNext w:val="0"/>
        <w:keepLines w:val="0"/>
        <w:widowControl/>
        <w:suppressLineNumbers w:val="0"/>
        <w:ind w:firstLine="320" w:firstLineChars="100"/>
        <w:jc w:val="left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三、收到和处理政府信息公开申请情况</w:t>
      </w:r>
    </w:p>
    <w:tbl>
      <w:tblPr>
        <w:tblStyle w:val="2"/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 w14:paraId="45E2C1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407A35F">
            <w:pPr>
              <w:rPr>
                <w:highlight w:val="none"/>
              </w:rPr>
            </w:pPr>
            <w:r>
              <w:rPr>
                <w:highlight w:val="none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52A5F0">
            <w:p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申请人情况</w:t>
            </w:r>
          </w:p>
        </w:tc>
      </w:tr>
      <w:tr w14:paraId="66B1DE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80279C0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95FDA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1A39C8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C68872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总计</w:t>
            </w:r>
          </w:p>
        </w:tc>
      </w:tr>
      <w:tr w14:paraId="4630E1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768EA6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F03306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DC9AED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商业</w:t>
            </w:r>
          </w:p>
          <w:p w14:paraId="23E9CB7F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0B3D14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科研</w:t>
            </w:r>
          </w:p>
          <w:p w14:paraId="28B51AC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CFD0CD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A42EF1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A8F4D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F76388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A3450E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F624F0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AD82B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146C6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6EEEA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73B8D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EEC52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F3756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C168C0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7E60E8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238CA7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E6C7F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2ECF4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DBA65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2DB90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390FF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33D57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0109E22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09A671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977EB4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527944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B300D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8E107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82BC0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14FDD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350A9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B6F9D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8E4F51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4CC5CF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45E04B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BC0D4B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（二）部分公开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0"/>
                <w:szCs w:val="20"/>
                <w:highlight w:val="none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87C6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39DD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F3D89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701B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13773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FE37F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E29D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0 </w:t>
            </w:r>
          </w:p>
        </w:tc>
      </w:tr>
      <w:tr w14:paraId="021B6B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2A05E9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6A0F26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（三）不予公开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DB8838D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2644F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645E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99756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D6AF0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D81AB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25759F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D32E2D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597F9E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979D7B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2C64BA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DF737A5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BEE96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AC29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0A6B6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9B789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5AFD7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6CF0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5C4A5C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430B54A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847415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69C650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0AE32D8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D7823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8722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5399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AF2A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46F8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CD3D3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B94EA1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74A6399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65AA6D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011502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0FDA520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F6BB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6B780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C5E05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25649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C5292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44884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C73870F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2DFE97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3DCDD1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1ED50F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3B0336B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5CEB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94427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C911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58D2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8FA4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8FBA0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B05560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4BF3B2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993BB4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91B29D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58C9EFF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014DA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E8908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6E23D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34B33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7B0956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F17FF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0DBF89C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292922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184A8E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63A04C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7BA6319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69874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1C113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14B9E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F789C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166EB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948AC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41E856B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4DE4B1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4E1749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1A3E4C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350156B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09384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D3584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7AF42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0DAD8A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6E4F0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8EA23D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2483748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7B893F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F3FB3F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D164EC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（四）无法提供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DD6E78F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276A6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CA6FE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E6572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7289A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C4BEF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5FE42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28C94E46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404547D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857351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016ADE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F6F3AC3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3E196F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A4201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2A549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83F8F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3F967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75F6B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5DD746E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791630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12049A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12D87D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F14F4CB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E4847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EC45F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3A185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4D7876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6685F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E77FD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33596BD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7D0C022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4E1352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0DD742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（五）不予处理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10B445C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D1EF9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78376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97983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07B79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EC7FD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363CF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492B6F6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2DB794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07F805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A74295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857D891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8E19DA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E695E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FC319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46BA62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1EBEA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00BE62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03BB723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0E3C81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67AC9B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EEC62B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6216AAD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972C2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672DE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573B3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4DD9B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6DEF7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D9CC4A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4CBE6C9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6C0EB7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FEFEA9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60E26B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30CDE12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8A3CFD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FADE7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3A353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F43202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89D41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D7240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7BBB820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3D91E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CE88DF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8A62D5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D0A592">
            <w:pPr>
              <w:widowControl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E81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D6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0F1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345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82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E5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0E25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243B1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4BF2EC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4BA710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E29ECE">
            <w:pPr>
              <w:widowControl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B5F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E1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9C2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761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8A2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F1A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7FB3E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52E01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D90F11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18954E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9F349D">
            <w:pPr>
              <w:widowControl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2D6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9F2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D8A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1B7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463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7BE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0B448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auto"/>
              <w:rPr>
                <w:rFonts w:hint="default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46B47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DFBDAE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A60F97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2BD48C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4E0076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162E9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CE47D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BDDA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44EBA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59449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B878F26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1DBC42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CE0754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7523D0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026E7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6731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2AC67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8FEC74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1A19F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19FF9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DD2085A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  <w:tr w14:paraId="1B86BB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9B779D">
            <w:pPr>
              <w:widowControl/>
              <w:jc w:val="left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5866A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B281F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93B7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EAAD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DFF25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723BA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561FBF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</w:rPr>
              <w:t> </w:t>
            </w:r>
          </w:p>
        </w:tc>
      </w:tr>
    </w:tbl>
    <w:p w14:paraId="16328D9C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</w:p>
    <w:p w14:paraId="14A0A3A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四、政府信息公开行政复议、行政诉讼情况</w:t>
      </w:r>
    </w:p>
    <w:tbl>
      <w:tblPr>
        <w:tblStyle w:val="2"/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198637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72F13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2A09C3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行政诉讼</w:t>
            </w:r>
          </w:p>
        </w:tc>
      </w:tr>
      <w:tr w14:paraId="1DED7B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4CCD0F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C3CF061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1EEA17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25674AA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69A10B6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559E20E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104E45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复议后起诉</w:t>
            </w:r>
          </w:p>
        </w:tc>
      </w:tr>
      <w:tr w14:paraId="080002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A03CDC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2283A8E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6FCFF6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FB7D35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171387E">
            <w:pPr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F7CF88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9A7214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58DF69F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82D0FD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0C4222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49BC02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AEEF2D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91CE9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86B5B2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27EEC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总计</w:t>
            </w:r>
          </w:p>
        </w:tc>
      </w:tr>
      <w:tr w14:paraId="3E2F3A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4FF62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370FC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B0BFC5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3C791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73FF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7EDA78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48C26D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741E723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3B2CE7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C9A6E59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AD6E90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3B82B66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945BECF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F0F196B">
            <w:pPr>
              <w:widowControl/>
              <w:jc w:val="center"/>
              <w:rPr>
                <w:rFonts w:ascii="仿宋_GB2312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2212676">
            <w:pPr>
              <w:jc w:val="center"/>
              <w:rPr>
                <w:rFonts w:ascii="宋体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Calibri" w:hAnsi="Calibri" w:eastAsia="仿宋_GB2312" w:cs="Calibri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</w:tbl>
    <w:p w14:paraId="44384425">
      <w:pPr>
        <w:widowControl/>
        <w:jc w:val="left"/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</w:pPr>
    </w:p>
    <w:p w14:paraId="19F5555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五、存在的主要问题及改进情况</w:t>
      </w:r>
    </w:p>
    <w:p w14:paraId="1259750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（一）上年度整改情况。针对2024年存在的公开广度深度不足、公开水平有待提升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、公开方式需要进一步拓宽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问题，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一是聚焦财政预决算、重大项目、民生保障等重点领域，实现公开内容全覆盖、无遗漏、可追溯；二是从能力、质量多维度提升公开规范化、专业化水平，提升工作人员专业能力，优化内容呈现形式；三是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创新公开方式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，构建线上线下多元化公开渠道，实现公开渠道互联互通，满足不同群体的信息获取需求。目前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已完成阶段性整改。全年信息公开政策解读形式更加丰富，基层政务公开规范化水平显著提升。</w:t>
      </w:r>
    </w:p>
    <w:p w14:paraId="60AA7E8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2025年度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存在问题。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一是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部分领域信息公开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文件格式不够规范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部分村公开内容更新不够及时。</w:t>
      </w:r>
    </w:p>
    <w:p w14:paraId="6D7035B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（三）下一步改进措施。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一是规范公开文件格式。明确字体、排版、标注、附件等格式要求，建立文件格式初审把关机制，对已发布的不规范文件限期完成整改规范，确保公开文件格式统一、标准规范、查阅便捷。二是压实村级信息公开主体责任，明确各类村务公开事项的更新时限，督促各村按时更新，同时畅通群众监督反馈渠道，推动村级公开内容更新常态化、制度化。</w:t>
      </w:r>
    </w:p>
    <w:p w14:paraId="54058E0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六、其他需要报告的事项</w:t>
      </w:r>
    </w:p>
    <w:p w14:paraId="0992467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按照《国务院办公厅关于印发〈政府信息公开信息处理费管理办法〉的通知》（国办函〔2020〕109号）规定的按件、按量收费标准，本年度没有产生信息公开处理费。</w:t>
      </w:r>
    </w:p>
    <w:sectPr>
      <w:footerReference r:id="rId3" w:type="default"/>
      <w:footerReference r:id="rId4" w:type="even"/>
      <w:pgSz w:w="11906" w:h="16838"/>
      <w:pgMar w:top="1814" w:right="1474" w:bottom="1264" w:left="1588" w:header="851" w:footer="102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93ADCA8-C6AB-4FA5-9EDD-07177730316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C51A477-5F07-4E71-B063-0C08674D37F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7A6F047-AE4B-4914-BBD4-5AD445F8956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0144108-19E2-4283-AE83-4F72A7066F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E471841-C538-40EA-B18C-3CCC4904A99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52F7D47-8CFB-4021-8C2F-CBB08B9B6B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6BEA5">
    <w:pPr>
      <w:widowControl w:val="0"/>
      <w:tabs>
        <w:tab w:val="center" w:pos="4153"/>
        <w:tab w:val="right" w:pos="8306"/>
      </w:tabs>
      <w:snapToGrid w:val="0"/>
      <w:jc w:val="right"/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</w:pPr>
    <w:r>
      <w:rPr>
        <w:rFonts w:ascii="仿宋_GB2312" w:hAnsi="Times New Roman" w:eastAsia="仿宋_GB2312" w:cs="Times New Roman"/>
        <w:kern w:val="2"/>
        <w:sz w:val="2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18776A7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right"/>
                            <w:rPr>
                              <w:rFonts w:ascii="仿宋_GB2312" w:hAnsi="Times New Roman" w:eastAsia="仿宋_GB2312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</w:instrText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7</w:t>
                          </w:r>
                          <w:r>
                            <w:rPr>
                              <w:rFonts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6pebnPAAAA&#10;BQEAAA8AAAAAAAAAAQAgAAAAIgAAAGRycy9kb3ducmV2LnhtbFBLAQIUABQAAAAIAIdO4kCeTlmS&#10;7QEAANUDAAAOAAAAAAAAAAEAIAAAAB4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8776A7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right"/>
                      <w:rPr>
                        <w:rFonts w:ascii="仿宋_GB2312" w:hAnsi="Times New Roman" w:eastAsia="仿宋_GB2312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</w:instrText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7</w:t>
                    </w:r>
                    <w:r>
                      <w:rPr>
                        <w:rFonts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  <w:p w14:paraId="57E3B6D9">
    <w:pPr>
      <w:rPr>
        <w:rFonts w:ascii="仿宋_GB2312" w:hAnsi="Times New Roman" w:eastAsia="仿宋_GB2312" w:cs="Times New Roman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1F6A9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</w:pPr>
    <w:r>
      <w:rPr>
        <w:rFonts w:ascii="仿宋_GB2312" w:hAnsi="Times New Roman" w:eastAsia="仿宋_GB2312" w:cs="Times New Roman"/>
        <w:kern w:val="2"/>
        <w:sz w:val="2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7A33C43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6pebnPAAAA&#10;BQEAAA8AAAAAAAAAAQAgAAAAIgAAAGRycy9kb3ducmV2LnhtbFBLAQIUABQAAAAIAIdO4kART/Bo&#10;7QEAANUDAAAOAAAAAAAAAAEAIAAAAB4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A33C43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  <w:p w14:paraId="71FFD514">
    <w:pPr>
      <w:rPr>
        <w:rFonts w:ascii="仿宋_GB2312" w:hAnsi="Times New Roman" w:eastAsia="仿宋_GB2312" w:cs="Times New Roman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5094D"/>
    <w:rsid w:val="022E1B74"/>
    <w:rsid w:val="05F02B99"/>
    <w:rsid w:val="0C71390F"/>
    <w:rsid w:val="154F7600"/>
    <w:rsid w:val="18FE477D"/>
    <w:rsid w:val="1A7A5DFE"/>
    <w:rsid w:val="1AEC7D94"/>
    <w:rsid w:val="20FE2F38"/>
    <w:rsid w:val="236B6EB3"/>
    <w:rsid w:val="24442897"/>
    <w:rsid w:val="2F3F11F4"/>
    <w:rsid w:val="36281967"/>
    <w:rsid w:val="3A6B4CD1"/>
    <w:rsid w:val="41CEEFF4"/>
    <w:rsid w:val="463D6035"/>
    <w:rsid w:val="484C7D5F"/>
    <w:rsid w:val="497F06E8"/>
    <w:rsid w:val="4FCE5F50"/>
    <w:rsid w:val="4FEA4A32"/>
    <w:rsid w:val="52EA3518"/>
    <w:rsid w:val="5A862E7C"/>
    <w:rsid w:val="61744FEB"/>
    <w:rsid w:val="67EB761E"/>
    <w:rsid w:val="6A244C92"/>
    <w:rsid w:val="6CEA1A52"/>
    <w:rsid w:val="6CFF66B9"/>
    <w:rsid w:val="74AF5AA0"/>
    <w:rsid w:val="7DFBF302"/>
    <w:rsid w:val="7FFD1DB6"/>
    <w:rsid w:val="7FFFC8E8"/>
    <w:rsid w:val="A96F7DCA"/>
    <w:rsid w:val="BFEB9752"/>
    <w:rsid w:val="C3F50215"/>
    <w:rsid w:val="C526E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2415</Words>
  <Characters>2495</Characters>
  <Lines>0</Lines>
  <Paragraphs>0</Paragraphs>
  <TotalTime>24</TotalTime>
  <ScaleCrop>false</ScaleCrop>
  <LinksUpToDate>false</LinksUpToDate>
  <CharactersWithSpaces>2643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Mr 阿锐</cp:lastModifiedBy>
  <dcterms:modified xsi:type="dcterms:W3CDTF">2026-01-20T03:03:12Z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B63A3FB998474BC6AE7980A25E537FFC_13</vt:lpwstr>
  </property>
  <property fmtid="{D5CDD505-2E9C-101B-9397-08002B2CF9AE}" pid="4" name="KSOTemplateDocerSaveRecord">
    <vt:lpwstr>eyJoZGlkIjoiMzRjZmQ1ZjZiNjdjYzJmNTQ5MzY4MzIyYzcxNWNkYzUiLCJ1c2VySWQiOiIxMjU3Mzc3MjE3In0=</vt:lpwstr>
  </property>
</Properties>
</file>