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E3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舒城县万佛湖镇人民政府202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 w14:paraId="2AEF30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根据《中华人民共和国政府信息公开条例》（国务院令第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711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号）规定和《国务院办公厅政府信息与政务公开办公室关于印发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中华人民共和国政府信息公开工作年度报告格式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&gt;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的通知》（国办公开办函〔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号）要求，结合万佛湖镇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年度政府信息公开工作编制而成。全文包括总体情况、主动公开政府信息情况、收到和处理政府信息公开申请情况、政府信息公开行政复议、行政诉讼情况、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存在的主要问题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改进情况以及其他需要报告的事项。本年度报告中使用数据统计期限为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日。如对本报告有任何疑问，请与万佛湖镇人民政府联系（地址：万佛湖镇龙梅路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号；联系电话：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0564-8537736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</w:p>
    <w:p w14:paraId="7B251E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一、总体情况</w:t>
      </w:r>
    </w:p>
    <w:p w14:paraId="4C9ECB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（一）主动公开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</w:p>
    <w:p w14:paraId="5A2054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2025年，我镇始终坚守“应公开、尽公开”的工作原则，通过政府门户网站累计主动公开各类政府信息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761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常态化公开财政专项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资金发放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按月公开社会救助打卡信息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，针对社会关切的热点问题，及时回应相关信息59条。围绕乡镇基层“两化”目录的具体要求，我镇稳步推进政务公开向村（社区）延伸覆盖，确保村级涉农补贴等关键信息能够主动、及时、准确地对外公布。​</w:t>
      </w:r>
    </w:p>
    <w:p w14:paraId="18992C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（二）依申请公开​</w:t>
      </w:r>
    </w:p>
    <w:p w14:paraId="44B1B61F">
      <w:pPr>
        <w:widowControl/>
        <w:shd w:val="clear"/>
        <w:spacing w:before="0" w:beforeAutospacing="0" w:after="0" w:afterAutospacing="0"/>
        <w:ind w:firstLine="42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常态化维护信息公开指南，畅通依申请公开收取渠道。2025年，我镇通过信件收到群众依申请公开一件，及时录入依申请公开平台，进一步规范依申请公开全流程环节。所有申请均在法定期限内完成答复办理，办结率达到100%，切实维护了申请人的合法权益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</w:p>
    <w:p w14:paraId="74DA61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（三）政府信息管理​</w:t>
      </w:r>
    </w:p>
    <w:p w14:paraId="14F4D9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万佛湖镇严格落实信息发布“三审”制度，严把内容质量关。规范政策文件管理，完善文件库建设，动态清理无效、失效信息，统一调整文件格式并补全要素。延伸管理至村（社区），督查指导村务公开规范开展，确保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惠民惠农政策资金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等民生信息准确及时公开，全年未发生错敏信息及泄密问题，保障群众知情权与参与权。</w:t>
      </w:r>
    </w:p>
    <w:p w14:paraId="2862D4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情况</w:t>
      </w: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</w:p>
    <w:p w14:paraId="4230F6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万佛湖镇持续强化政府信息公开平台建设。整合政策查询、办事指引、依申请公开指导等功能，提供标准化服务。优化政策咨询综合服务台运行，严格落实文明服务、一次性告知要求，按“当场解答—专人对接—记录反馈”流程高效回应群众诉求。畅通热线服务渠道，建立闭环处置机制，全年累计处理各类热线239条，涵盖民生保障、业务咨询等领域，群众反馈良好、认可度高。通过专区、服务台、热线平台协同发力，构建起线上线下联动、便捷高效的公开服务体系。</w:t>
      </w:r>
    </w:p>
    <w:p w14:paraId="5791FC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Calibri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（五）监督保障​</w:t>
      </w:r>
    </w:p>
    <w:p w14:paraId="49A6F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立“主要领导牵头、分管领导负责、专人具体落实”工作机制，明确各部门职责分工，强化协同联动。夯实人员队伍建设，选拔业务骨干充实公开工作力量，常态化开展专题培训，提升工作人员政策解读、信息编辑等专业能力。将信息公开纳入年度工作考核，结合社会评议广泛收集群众意见建议，形成“考核+评议”双重监督模式。严格落实责任追究制度，对工作推进不力、落实不到位的情形及时督促整改，全年未发生因信息公开工作引发的责任追究案件，为公开工作规范有序开展提供坚实保障。</w:t>
      </w:r>
    </w:p>
    <w:p w14:paraId="21D81E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17494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2D6E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p w14:paraId="43D974D3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5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E4BA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94155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CA230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45A99C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9CBDA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AC28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1A2B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F9C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06E9C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6EA4C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5C0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7C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A4783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C98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A5A3B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8AE2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92CE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0D52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40BB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B08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937D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61420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7FCB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A132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93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25F6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2B2F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08C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F911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3F18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AD30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749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3666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EF3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4469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A7A8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941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692E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EB28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8BC78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A1B1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2691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0EF8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3064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6CDA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994E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89C4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E688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DCE4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96B6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FAB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68D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DB6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E7BB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DD9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E426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58F2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8871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4DF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41FC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2C5A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BE01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1DF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F50D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454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9B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1B49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8E33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3B67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86B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58B3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7932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E406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1A2D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B988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5E54D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EE37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44F0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2AB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1191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5404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5D37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6907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309B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4BB9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B4C1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0C9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5563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D83D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208A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C73E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7F33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93C3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419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2170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B02A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125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473A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E2EE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441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195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C727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4BA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3B18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4DA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98C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B1EB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E796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shd w:val="clear"/>
              <w:jc w:val="center"/>
              <w:rPr>
                <w:rFonts w:hint="default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7F29A6">
      <w:pPr>
        <w:widowControl/>
        <w:shd w:val="clear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2328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四、政府信息公开行政复议、行政诉讼情况</w:t>
      </w:r>
    </w:p>
    <w:p w14:paraId="7C0272BD">
      <w:pPr>
        <w:widowControl/>
        <w:shd w:val="clear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90CC8A"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8715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 w14:paraId="65EE1E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（一）上年度存在问题整改情况​</w:t>
      </w:r>
    </w:p>
    <w:p w14:paraId="4C444A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针对2024年政务公开工作中发现的问题，我镇逐项制定整改措施并扎实推进落实，具体整改情况如下：​</w:t>
      </w:r>
    </w:p>
    <w:p w14:paraId="2550CF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创新丰富公开形式，严格遵循《中华人民共和国政府信息公开条例》最新要求，在现有工作机制、工作标准、工作流程及考核指标的基础上，积极采用群众喜闻乐见的形式优化信息呈现方式，增强政府公开信息的可读性与吸引力，提升信息传播效果。​</w:t>
      </w:r>
    </w:p>
    <w:p w14:paraId="2C7B46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健全信息报送责任机制，分部门制定详细清单，明确“部门负责人+经办人”直接对接责任。严格落实重大信息“第一时间”发布要求，确保关键信息及时触达。对照整改清单深入自查自纠，举一反三排查同类问题，保障信息发布及时、准确、规范。</w:t>
      </w:r>
    </w:p>
    <w:p w14:paraId="5FF5F5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3"/>
        <w:jc w:val="left"/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存在问题​</w:t>
      </w:r>
    </w:p>
    <w:p w14:paraId="1E182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镇政务公开工作稳步推进、有序开展，总体呈现良好发展态势，但对照上级工作要求和群众期待，仍存在一些不足与薄弱环节：一是部分政策解读深度不足，多以原文转发为主，缺乏通俗化、场景化解读；二是依申请公开办理效率有待提升，个别事项答复时限把控不够严格，文书规范度需进一步加强。</w:t>
      </w:r>
    </w:p>
    <w:p w14:paraId="72E8C2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（三）改进情况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​</w:t>
      </w:r>
    </w:p>
    <w:p w14:paraId="663B3E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针对上述存在的问题，我镇将采取针对性措施加以改进完善：</w:t>
      </w:r>
    </w:p>
    <w:p w14:paraId="5D3004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一是开展政策解读专题培训，组建由业务骨干组成的解读队伍，围绕重点政策制作图文解读、案例剖析等材料；</w:t>
      </w:r>
    </w:p>
    <w:p w14:paraId="2566FF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3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二是优化依申请公开办理流程，明确收件、审核、答复各环节时限，开展办理质量抽查互评，确保答复合法规范、高效便民。</w:t>
      </w:r>
    </w:p>
    <w:p w14:paraId="167AA5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 w14:paraId="4FD381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0"/>
        <w:jc w:val="left"/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按照《国务院办公厅关于印发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政府信息公开信息处理费管理办法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&gt;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的通知》（国办函〔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109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号）规定的按件、按量收费标准，本年度没有产生信息公开处理费。</w:t>
      </w:r>
    </w:p>
    <w:p w14:paraId="779FEB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60BD"/>
    <w:rsid w:val="2BE58600"/>
    <w:rsid w:val="52EA3518"/>
    <w:rsid w:val="5A862E7C"/>
    <w:rsid w:val="5B656B0B"/>
    <w:rsid w:val="5BBB36AE"/>
    <w:rsid w:val="61744FEB"/>
    <w:rsid w:val="67DF7C28"/>
    <w:rsid w:val="6BEFBCCF"/>
    <w:rsid w:val="6CEA1A52"/>
    <w:rsid w:val="6FFF5FBF"/>
    <w:rsid w:val="72FBED8F"/>
    <w:rsid w:val="7DE65B2F"/>
    <w:rsid w:val="A4C9F8F1"/>
    <w:rsid w:val="F51E926E"/>
    <w:rsid w:val="FB9F27FE"/>
    <w:rsid w:val="FF5138E4"/>
    <w:rsid w:val="FFFF18CA"/>
    <w:rsid w:val="FFFF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Scxghgy</cp:lastModifiedBy>
  <dcterms:modified xsi:type="dcterms:W3CDTF">2026-01-23T15:57:40Z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CB2C58A923B77FC840356F6935697000_43</vt:lpwstr>
  </property>
  <property fmtid="{D5CDD505-2E9C-101B-9397-08002B2CF9AE}" pid="4" name="KSOTemplateDocerSaveRecord">
    <vt:lpwstr>eyJoZGlkIjoiOTU5Zjc4YTkxMWZjMzA4OWRlOGMwMDQ1MTYyMmVjMjIiLCJ1c2VySWQiOiI3MTY2NTg5ODAifQ==</vt:lpwstr>
  </property>
</Properties>
</file>